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202</w:t>
      </w:r>
      <w:r>
        <w:rPr>
          <w:rFonts w:hint="eastAsia"/>
          <w:lang w:val="en-US" w:eastAsia="zh-CN"/>
        </w:rPr>
        <w:t>1</w:t>
      </w:r>
      <w:r>
        <w:rPr>
          <w:rFonts w:hint="eastAsia"/>
        </w:rPr>
        <w:t>年管理学院研究生</w:t>
      </w:r>
    </w:p>
    <w:p>
      <w:pPr>
        <w:pStyle w:val="2"/>
        <w:jc w:val="center"/>
        <w:rPr>
          <w:rFonts w:ascii="仿宋" w:hAnsi="仿宋" w:eastAsia="仿宋" w:cs="仿宋"/>
          <w:sz w:val="36"/>
          <w:szCs w:val="36"/>
        </w:rPr>
      </w:pPr>
      <w:r>
        <w:rPr>
          <w:rFonts w:hint="eastAsia"/>
        </w:rPr>
        <w:t>《</w:t>
      </w:r>
      <w:r>
        <w:rPr>
          <w:rFonts w:hint="eastAsia" w:ascii="仿宋" w:hAnsi="仿宋" w:eastAsia="仿宋" w:cs="仿宋"/>
          <w:sz w:val="36"/>
          <w:szCs w:val="36"/>
        </w:rPr>
        <w:t>研究生学业奖学金评审实施细则》</w:t>
      </w:r>
    </w:p>
    <w:p>
      <w:pPr>
        <w:jc w:val="center"/>
        <w:rPr>
          <w:rFonts w:ascii="仿宋" w:hAnsi="仿宋" w:eastAsia="仿宋" w:cs="仿宋"/>
          <w:b/>
          <w:sz w:val="36"/>
          <w:szCs w:val="36"/>
        </w:rPr>
      </w:pPr>
      <w:r>
        <w:rPr>
          <w:rFonts w:hint="eastAsia" w:ascii="仿宋" w:hAnsi="仿宋" w:eastAsia="仿宋" w:cs="仿宋"/>
          <w:b/>
          <w:sz w:val="36"/>
          <w:szCs w:val="36"/>
        </w:rPr>
        <w:t>（202</w:t>
      </w:r>
      <w:r>
        <w:rPr>
          <w:rFonts w:hint="eastAsia" w:ascii="仿宋" w:hAnsi="仿宋" w:eastAsia="仿宋" w:cs="仿宋"/>
          <w:b/>
          <w:sz w:val="36"/>
          <w:szCs w:val="36"/>
          <w:lang w:val="en-US" w:eastAsia="zh-CN"/>
        </w:rPr>
        <w:t>1</w:t>
      </w:r>
      <w:r>
        <w:rPr>
          <w:rFonts w:hint="eastAsia" w:ascii="仿宋" w:hAnsi="仿宋" w:eastAsia="仿宋" w:cs="仿宋"/>
          <w:b/>
          <w:sz w:val="36"/>
          <w:szCs w:val="36"/>
        </w:rPr>
        <w:t>年修订稿）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ascii="仿宋" w:hAnsi="仿宋" w:eastAsia="仿宋" w:cs="仿宋"/>
          <w:sz w:val="32"/>
          <w:szCs w:val="32"/>
        </w:rPr>
      </w:pPr>
      <w:r>
        <w:rPr>
          <w:rFonts w:hint="eastAsia" w:ascii="仿宋" w:hAnsi="仿宋" w:eastAsia="仿宋" w:cs="仿宋"/>
          <w:sz w:val="32"/>
          <w:szCs w:val="32"/>
        </w:rPr>
        <w:t>为进一步规范研究生学业奖学金评审工作，确保评审结果的公平性、权威性，根据《广东技术师范大学研究生资助工作实施办法》（广师大〔2021〕217号）</w:t>
      </w:r>
      <w:r>
        <w:rPr>
          <w:rFonts w:hint="eastAsia" w:ascii="仿宋" w:hAnsi="仿宋" w:eastAsia="仿宋" w:cs="仿宋"/>
          <w:sz w:val="32"/>
          <w:szCs w:val="32"/>
          <w:lang w:eastAsia="zh-CN"/>
        </w:rPr>
        <w:t>、</w:t>
      </w:r>
      <w:r>
        <w:rPr>
          <w:rFonts w:hint="eastAsia" w:ascii="仿宋" w:hAnsi="仿宋" w:eastAsia="仿宋" w:cs="仿宋"/>
          <w:sz w:val="32"/>
          <w:szCs w:val="32"/>
        </w:rPr>
        <w:t>《广东技术师范大学全日制研究生国家奖助学金实施办法》（广师大〔2021〕219号）</w:t>
      </w:r>
      <w:r>
        <w:rPr>
          <w:rFonts w:hint="eastAsia" w:ascii="仿宋" w:hAnsi="仿宋" w:eastAsia="仿宋" w:cs="仿宋"/>
          <w:sz w:val="32"/>
          <w:szCs w:val="32"/>
          <w:lang w:eastAsia="zh-CN"/>
        </w:rPr>
        <w:t>以及《</w:t>
      </w:r>
      <w:r>
        <w:rPr>
          <w:rFonts w:hint="eastAsia" w:ascii="仿宋" w:hAnsi="仿宋" w:eastAsia="仿宋" w:cs="仿宋"/>
          <w:sz w:val="32"/>
          <w:szCs w:val="32"/>
        </w:rPr>
        <w:t>关于制定各学位点、研究生培养单位研究生国家奖学金、学业奖学金评审细则的通知</w:t>
      </w:r>
      <w:r>
        <w:rPr>
          <w:rFonts w:hint="eastAsia" w:ascii="仿宋" w:hAnsi="仿宋" w:eastAsia="仿宋" w:cs="仿宋"/>
          <w:sz w:val="32"/>
          <w:szCs w:val="32"/>
          <w:lang w:eastAsia="zh-CN"/>
        </w:rPr>
        <w:t>》</w:t>
      </w:r>
      <w:r>
        <w:rPr>
          <w:rFonts w:hint="eastAsia" w:ascii="仿宋" w:hAnsi="仿宋" w:eastAsia="仿宋" w:cs="仿宋"/>
          <w:sz w:val="32"/>
          <w:szCs w:val="32"/>
        </w:rPr>
        <w:t>的通知要求,现制定管理学院研究生学业奖学金评审实施细则。</w:t>
      </w:r>
    </w:p>
    <w:p>
      <w:pPr>
        <w:numPr>
          <w:ilvl w:val="0"/>
          <w:numId w:val="0"/>
        </w:numPr>
        <w:ind w:firstLine="420" w:firstLineChars="0"/>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奖励标准与名额分配</w:t>
      </w:r>
    </w:p>
    <w:p>
      <w:pPr>
        <w:ind w:firstLine="420" w:firstLineChars="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年管理学院研究生学业奖学金的等级、名额及奖励标准为：</w:t>
      </w:r>
      <w:r>
        <w:rPr>
          <w:rFonts w:hint="eastAsia" w:ascii="仿宋_GB2312" w:eastAsia="仿宋_GB2312"/>
          <w:sz w:val="32"/>
          <w:szCs w:val="32"/>
        </w:rPr>
        <w:t>研究生学业奖学金实行动态管理,分为三个等级：一等奖学金名额约为</w:t>
      </w:r>
      <w:r>
        <w:rPr>
          <w:rFonts w:hint="eastAsia" w:ascii="仿宋_GB2312" w:eastAsia="仿宋_GB2312"/>
          <w:sz w:val="32"/>
          <w:szCs w:val="32"/>
          <w:lang w:eastAsia="zh-CN"/>
        </w:rPr>
        <w:t>全日制</w:t>
      </w:r>
      <w:r>
        <w:rPr>
          <w:rFonts w:hint="eastAsia" w:ascii="仿宋_GB2312" w:eastAsia="仿宋_GB2312"/>
          <w:sz w:val="32"/>
          <w:szCs w:val="32"/>
        </w:rPr>
        <w:t>在校</w:t>
      </w:r>
      <w:r>
        <w:rPr>
          <w:rFonts w:hint="eastAsia" w:ascii="仿宋_GB2312" w:eastAsia="仿宋_GB2312"/>
          <w:sz w:val="32"/>
          <w:szCs w:val="32"/>
          <w:lang w:eastAsia="zh-CN"/>
        </w:rPr>
        <w:t>研究</w:t>
      </w:r>
      <w:r>
        <w:rPr>
          <w:rFonts w:hint="eastAsia" w:ascii="仿宋_GB2312" w:eastAsia="仿宋_GB2312"/>
          <w:sz w:val="32"/>
          <w:szCs w:val="32"/>
        </w:rPr>
        <w:t>生人数的10%，奖励标准为</w:t>
      </w:r>
      <w:r>
        <w:rPr>
          <w:rFonts w:hint="eastAsia" w:ascii="仿宋_GB2312" w:eastAsia="仿宋_GB2312"/>
          <w:sz w:val="32"/>
          <w:szCs w:val="32"/>
          <w:lang w:eastAsia="zh-CN"/>
        </w:rPr>
        <w:t>每生每年</w:t>
      </w:r>
      <w:r>
        <w:rPr>
          <w:rFonts w:hint="eastAsia" w:ascii="仿宋_GB2312" w:eastAsia="仿宋_GB2312"/>
          <w:sz w:val="32"/>
          <w:szCs w:val="32"/>
        </w:rPr>
        <w:t>8000元；二等奖学金名额约为</w:t>
      </w:r>
      <w:r>
        <w:rPr>
          <w:rFonts w:hint="eastAsia" w:ascii="仿宋_GB2312" w:eastAsia="仿宋_GB2312"/>
          <w:sz w:val="32"/>
          <w:szCs w:val="32"/>
          <w:lang w:eastAsia="zh-CN"/>
        </w:rPr>
        <w:t>全日制</w:t>
      </w:r>
      <w:r>
        <w:rPr>
          <w:rFonts w:hint="eastAsia" w:ascii="仿宋_GB2312" w:eastAsia="仿宋_GB2312"/>
          <w:sz w:val="32"/>
          <w:szCs w:val="32"/>
        </w:rPr>
        <w:t>在校</w:t>
      </w:r>
      <w:r>
        <w:rPr>
          <w:rFonts w:hint="eastAsia" w:ascii="仿宋_GB2312" w:eastAsia="仿宋_GB2312"/>
          <w:sz w:val="32"/>
          <w:szCs w:val="32"/>
          <w:lang w:eastAsia="zh-CN"/>
        </w:rPr>
        <w:t>研究</w:t>
      </w:r>
      <w:r>
        <w:rPr>
          <w:rFonts w:hint="eastAsia" w:ascii="仿宋_GB2312" w:eastAsia="仿宋_GB2312"/>
          <w:sz w:val="32"/>
          <w:szCs w:val="32"/>
        </w:rPr>
        <w:t>生人数25%，奖励标准为</w:t>
      </w:r>
      <w:r>
        <w:rPr>
          <w:rFonts w:hint="eastAsia" w:ascii="仿宋_GB2312" w:eastAsia="仿宋_GB2312"/>
          <w:sz w:val="32"/>
          <w:szCs w:val="32"/>
          <w:lang w:eastAsia="zh-CN"/>
        </w:rPr>
        <w:t>每生每年</w:t>
      </w:r>
      <w:r>
        <w:rPr>
          <w:rFonts w:hint="eastAsia" w:ascii="仿宋_GB2312" w:eastAsia="仿宋_GB2312"/>
          <w:sz w:val="32"/>
          <w:szCs w:val="32"/>
          <w:lang w:val="en-US" w:eastAsia="zh-CN"/>
        </w:rPr>
        <w:t>5000</w:t>
      </w:r>
      <w:r>
        <w:rPr>
          <w:rFonts w:hint="eastAsia" w:ascii="仿宋_GB2312" w:eastAsia="仿宋_GB2312"/>
          <w:sz w:val="32"/>
          <w:szCs w:val="32"/>
        </w:rPr>
        <w:t>元；三等奖学金名额为</w:t>
      </w:r>
      <w:r>
        <w:rPr>
          <w:rFonts w:hint="eastAsia" w:ascii="仿宋_GB2312" w:eastAsia="仿宋_GB2312"/>
          <w:sz w:val="32"/>
          <w:szCs w:val="32"/>
          <w:lang w:eastAsia="zh-CN"/>
        </w:rPr>
        <w:t>全日制</w:t>
      </w:r>
      <w:r>
        <w:rPr>
          <w:rFonts w:hint="eastAsia" w:ascii="仿宋_GB2312" w:eastAsia="仿宋_GB2312"/>
          <w:sz w:val="32"/>
          <w:szCs w:val="32"/>
        </w:rPr>
        <w:t>在校</w:t>
      </w:r>
      <w:r>
        <w:rPr>
          <w:rFonts w:hint="eastAsia" w:ascii="仿宋_GB2312" w:eastAsia="仿宋_GB2312"/>
          <w:sz w:val="32"/>
          <w:szCs w:val="32"/>
          <w:lang w:eastAsia="zh-CN"/>
        </w:rPr>
        <w:t>研究</w:t>
      </w:r>
      <w:r>
        <w:rPr>
          <w:rFonts w:hint="eastAsia" w:ascii="仿宋_GB2312" w:eastAsia="仿宋_GB2312"/>
          <w:sz w:val="32"/>
          <w:szCs w:val="32"/>
        </w:rPr>
        <w:t>生人数65%，奖励标准为</w:t>
      </w:r>
      <w:r>
        <w:rPr>
          <w:rFonts w:hint="eastAsia" w:ascii="仿宋_GB2312" w:eastAsia="仿宋_GB2312"/>
          <w:sz w:val="32"/>
          <w:szCs w:val="32"/>
          <w:lang w:eastAsia="zh-CN"/>
        </w:rPr>
        <w:t>每生每年</w:t>
      </w:r>
      <w:r>
        <w:rPr>
          <w:rFonts w:hint="eastAsia" w:ascii="仿宋_GB2312" w:eastAsia="仿宋_GB2312"/>
          <w:sz w:val="32"/>
          <w:szCs w:val="32"/>
          <w:lang w:val="en-US" w:eastAsia="zh-CN"/>
        </w:rPr>
        <w:t>2000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hAnsi="仿宋_GB2312" w:eastAsia="仿宋_GB2312" w:cs="仿宋_GB2312"/>
          <w:sz w:val="32"/>
          <w:szCs w:val="32"/>
        </w:rPr>
        <w:t>学校可根据国家政策和学校实际，经校长办公会研究后，动态调整</w:t>
      </w:r>
      <w:r>
        <w:rPr>
          <w:rFonts w:hint="eastAsia" w:ascii="仿宋_GB2312" w:eastAsia="仿宋_GB2312"/>
          <w:sz w:val="32"/>
          <w:szCs w:val="32"/>
        </w:rPr>
        <w:t>学业奖学金奖励标准。</w:t>
      </w:r>
      <w:r>
        <w:rPr>
          <w:rFonts w:hint="eastAsia" w:ascii="仿宋" w:hAnsi="仿宋" w:eastAsia="仿宋" w:cs="仿宋"/>
          <w:sz w:val="32"/>
          <w:szCs w:val="32"/>
        </w:rPr>
        <w:t>具体名额分配情况</w:t>
      </w:r>
      <w:r>
        <w:rPr>
          <w:rFonts w:hint="eastAsia" w:ascii="仿宋" w:hAnsi="仿宋" w:eastAsia="仿宋" w:cs="仿宋"/>
          <w:sz w:val="32"/>
          <w:szCs w:val="32"/>
          <w:lang w:eastAsia="zh-CN"/>
        </w:rPr>
        <w:t>由学校研究生院</w:t>
      </w:r>
      <w:r>
        <w:rPr>
          <w:rFonts w:hint="eastAsia" w:ascii="仿宋_GB2312" w:eastAsia="仿宋_GB2312"/>
          <w:sz w:val="32"/>
          <w:szCs w:val="32"/>
        </w:rPr>
        <w:t>根据全日制在校生人数直接分配</w:t>
      </w:r>
      <w:r>
        <w:rPr>
          <w:rFonts w:hint="eastAsia" w:ascii="仿宋_GB2312" w:eastAsia="仿宋_GB2312"/>
          <w:sz w:val="32"/>
          <w:szCs w:val="32"/>
          <w:lang w:eastAsia="zh-CN"/>
        </w:rPr>
        <w:t>到管理学院。</w:t>
      </w:r>
    </w:p>
    <w:p>
      <w:pPr>
        <w:ind w:firstLine="640" w:firstLineChars="200"/>
        <w:rPr>
          <w:rFonts w:ascii="仿宋" w:hAnsi="仿宋" w:eastAsia="仿宋" w:cs="仿宋"/>
          <w:sz w:val="32"/>
          <w:szCs w:val="32"/>
        </w:rPr>
      </w:pPr>
      <w:r>
        <w:rPr>
          <w:rFonts w:hint="eastAsia" w:ascii="仿宋" w:hAnsi="仿宋" w:eastAsia="仿宋" w:cs="仿宋"/>
          <w:sz w:val="32"/>
          <w:szCs w:val="32"/>
        </w:rPr>
        <w:t>二、评选对象</w:t>
      </w:r>
    </w:p>
    <w:p>
      <w:pPr>
        <w:ind w:firstLine="640" w:firstLineChars="200"/>
        <w:rPr>
          <w:rFonts w:ascii="仿宋" w:hAnsi="仿宋" w:eastAsia="仿宋" w:cs="仿宋"/>
          <w:bCs/>
          <w:sz w:val="32"/>
          <w:szCs w:val="32"/>
        </w:rPr>
      </w:pPr>
      <w:r>
        <w:rPr>
          <w:rFonts w:hint="eastAsia" w:ascii="仿宋" w:hAnsi="仿宋" w:eastAsia="仿宋" w:cs="仿宋"/>
          <w:sz w:val="32"/>
          <w:szCs w:val="32"/>
        </w:rPr>
        <w:t>我院在读的全日制硕士研究生在基本学制年限内均有资格申请学业奖学金（不含参评学年学籍状态有休学、超过规定学制年限者）</w:t>
      </w:r>
      <w:r>
        <w:rPr>
          <w:rFonts w:hint="eastAsia" w:ascii="仿宋" w:hAnsi="仿宋" w:eastAsia="仿宋" w:cs="仿宋"/>
          <w:bCs/>
          <w:sz w:val="32"/>
          <w:szCs w:val="32"/>
        </w:rPr>
        <w:t>,以及不具备当年研究生学业奖学金参评资格的其他情况，可见《广东技术师范大学学生违纪处分管理规定》（广师</w:t>
      </w:r>
      <w:r>
        <w:rPr>
          <w:rFonts w:hint="eastAsia" w:ascii="仿宋" w:hAnsi="仿宋" w:eastAsia="仿宋" w:cs="仿宋"/>
          <w:bCs/>
          <w:sz w:val="32"/>
          <w:szCs w:val="32"/>
          <w:lang w:eastAsia="zh-CN"/>
        </w:rPr>
        <w:t>大</w:t>
      </w:r>
      <w:bookmarkStart w:id="0" w:name="_GoBack"/>
      <w:bookmarkEnd w:id="0"/>
      <w:r>
        <w:rPr>
          <w:rFonts w:hint="eastAsia" w:ascii="仿宋" w:hAnsi="仿宋" w:eastAsia="仿宋" w:cs="仿宋"/>
          <w:bCs/>
          <w:sz w:val="32"/>
          <w:szCs w:val="32"/>
        </w:rPr>
        <w:t>〔2019〕513号））。</w:t>
      </w:r>
    </w:p>
    <w:p>
      <w:pPr>
        <w:ind w:firstLine="640" w:firstLineChars="200"/>
        <w:rPr>
          <w:rFonts w:ascii="仿宋" w:hAnsi="仿宋" w:eastAsia="仿宋" w:cs="仿宋"/>
          <w:sz w:val="32"/>
          <w:szCs w:val="32"/>
        </w:rPr>
      </w:pPr>
      <w:r>
        <w:rPr>
          <w:rFonts w:hint="eastAsia" w:ascii="仿宋" w:hAnsi="仿宋" w:eastAsia="仿宋" w:cs="仿宋"/>
          <w:sz w:val="32"/>
          <w:szCs w:val="32"/>
        </w:rPr>
        <w:t>三、评选条件</w:t>
      </w:r>
    </w:p>
    <w:p>
      <w:pPr>
        <w:ind w:firstLine="640" w:firstLineChars="200"/>
        <w:rPr>
          <w:rFonts w:ascii="仿宋" w:hAnsi="仿宋" w:eastAsia="仿宋" w:cs="仿宋"/>
          <w:sz w:val="32"/>
          <w:szCs w:val="32"/>
        </w:rPr>
      </w:pPr>
      <w:r>
        <w:rPr>
          <w:rFonts w:hint="eastAsia" w:ascii="仿宋" w:hAnsi="仿宋" w:eastAsia="仿宋" w:cs="仿宋"/>
          <w:sz w:val="32"/>
          <w:szCs w:val="32"/>
        </w:rPr>
        <w:t>参加学业奖学金评选的硕士研究生应符合下列条件：</w:t>
      </w:r>
    </w:p>
    <w:p>
      <w:pPr>
        <w:ind w:firstLine="640" w:firstLineChars="200"/>
        <w:rPr>
          <w:rFonts w:ascii="仿宋" w:hAnsi="仿宋" w:eastAsia="仿宋" w:cs="仿宋"/>
          <w:sz w:val="32"/>
          <w:szCs w:val="32"/>
        </w:rPr>
      </w:pPr>
      <w:r>
        <w:rPr>
          <w:rFonts w:hint="eastAsia" w:ascii="仿宋" w:hAnsi="仿宋" w:eastAsia="仿宋" w:cs="仿宋"/>
          <w:sz w:val="32"/>
          <w:szCs w:val="32"/>
        </w:rPr>
        <w:t>（一）热爱社会主义祖国，拥护中国共产党的领导。</w:t>
      </w:r>
    </w:p>
    <w:p>
      <w:pPr>
        <w:ind w:firstLine="640" w:firstLineChars="200"/>
        <w:rPr>
          <w:rFonts w:ascii="仿宋" w:hAnsi="仿宋" w:eastAsia="仿宋" w:cs="仿宋"/>
          <w:sz w:val="32"/>
          <w:szCs w:val="32"/>
        </w:rPr>
      </w:pPr>
      <w:r>
        <w:rPr>
          <w:rFonts w:hint="eastAsia" w:ascii="仿宋" w:hAnsi="仿宋" w:eastAsia="仿宋" w:cs="仿宋"/>
          <w:sz w:val="32"/>
          <w:szCs w:val="32"/>
        </w:rPr>
        <w:t>（二）遵守宪法和法律，遵守学校规章制度。</w:t>
      </w:r>
    </w:p>
    <w:p>
      <w:pPr>
        <w:ind w:firstLine="640" w:firstLineChars="200"/>
        <w:rPr>
          <w:rFonts w:ascii="仿宋" w:hAnsi="仿宋" w:eastAsia="仿宋" w:cs="仿宋"/>
          <w:sz w:val="32"/>
          <w:szCs w:val="32"/>
        </w:rPr>
      </w:pPr>
      <w:r>
        <w:rPr>
          <w:rFonts w:hint="eastAsia" w:ascii="仿宋" w:hAnsi="仿宋" w:eastAsia="仿宋" w:cs="仿宋"/>
          <w:sz w:val="32"/>
          <w:szCs w:val="32"/>
        </w:rPr>
        <w:t>（三）诚实守信，品质优良；恪守科学道德，无学术不端行为；如有举报学术不端行为，一经查实，自动取消评审资格。</w:t>
      </w:r>
    </w:p>
    <w:p>
      <w:pPr>
        <w:ind w:firstLine="640" w:firstLineChars="200"/>
        <w:rPr>
          <w:rFonts w:ascii="仿宋" w:hAnsi="仿宋" w:eastAsia="仿宋" w:cs="仿宋"/>
          <w:sz w:val="32"/>
          <w:szCs w:val="32"/>
        </w:rPr>
      </w:pPr>
      <w:r>
        <w:rPr>
          <w:rFonts w:hint="eastAsia" w:ascii="仿宋" w:hAnsi="仿宋" w:eastAsia="仿宋" w:cs="仿宋"/>
          <w:sz w:val="32"/>
          <w:szCs w:val="32"/>
        </w:rPr>
        <w:t>（四）积极参与科学研究和社会实践。</w:t>
      </w:r>
    </w:p>
    <w:p>
      <w:pPr>
        <w:ind w:firstLine="640" w:firstLineChars="200"/>
        <w:rPr>
          <w:rFonts w:ascii="仿宋" w:hAnsi="仿宋" w:eastAsia="仿宋" w:cs="仿宋"/>
          <w:sz w:val="32"/>
          <w:szCs w:val="32"/>
        </w:rPr>
      </w:pPr>
      <w:r>
        <w:rPr>
          <w:rFonts w:hint="eastAsia" w:ascii="仿宋" w:hAnsi="仿宋" w:eastAsia="仿宋" w:cs="仿宋"/>
          <w:sz w:val="32"/>
          <w:szCs w:val="32"/>
        </w:rPr>
        <w:t>四、奖学金评选办法</w:t>
      </w:r>
    </w:p>
    <w:p>
      <w:pPr>
        <w:ind w:firstLine="640" w:firstLineChars="200"/>
        <w:rPr>
          <w:rFonts w:ascii="仿宋" w:hAnsi="仿宋" w:eastAsia="仿宋" w:cs="仿宋"/>
          <w:sz w:val="32"/>
          <w:szCs w:val="32"/>
        </w:rPr>
      </w:pPr>
      <w:r>
        <w:rPr>
          <w:rFonts w:hint="eastAsia" w:ascii="仿宋" w:hAnsi="仿宋" w:eastAsia="仿宋" w:cs="仿宋"/>
          <w:sz w:val="32"/>
          <w:szCs w:val="32"/>
        </w:rPr>
        <w:t>（一）一年级研究生学业奖学金的评定，报考我院的研究生按照研究生招生考试的总成绩</w:t>
      </w:r>
      <w:r>
        <w:rPr>
          <w:rFonts w:hint="eastAsia" w:ascii="仿宋" w:hAnsi="仿宋" w:eastAsia="仿宋" w:cs="仿宋"/>
          <w:bCs/>
          <w:sz w:val="32"/>
          <w:szCs w:val="32"/>
        </w:rPr>
        <w:t>（总成绩＝（初试成绩/5）×0.5＋（复试成绩/2.5）×0.5）进行高低排序（以学校研究生处公布的录取信息为准）；</w:t>
      </w:r>
      <w:r>
        <w:rPr>
          <w:rFonts w:hint="eastAsia" w:ascii="仿宋" w:hAnsi="仿宋" w:eastAsia="仿宋" w:cs="仿宋"/>
          <w:sz w:val="32"/>
          <w:szCs w:val="32"/>
        </w:rPr>
        <w:t>对于第一志愿报考我院的研究生（破格录取的研究生除外）优先</w:t>
      </w:r>
      <w:r>
        <w:rPr>
          <w:rFonts w:hint="eastAsia" w:ascii="仿宋" w:hAnsi="仿宋" w:eastAsia="仿宋" w:cs="仿宋"/>
          <w:bCs/>
          <w:sz w:val="32"/>
          <w:szCs w:val="32"/>
        </w:rPr>
        <w:t>确定为一等奖学金；二等奖学金</w:t>
      </w:r>
      <w:r>
        <w:rPr>
          <w:rFonts w:hint="eastAsia" w:ascii="仿宋" w:hAnsi="仿宋" w:eastAsia="仿宋" w:cs="仿宋"/>
          <w:sz w:val="32"/>
          <w:szCs w:val="32"/>
        </w:rPr>
        <w:t>按照研究生招生考试的总成绩的高低排序</w:t>
      </w:r>
      <w:r>
        <w:rPr>
          <w:rFonts w:hint="eastAsia" w:ascii="仿宋" w:hAnsi="仿宋" w:eastAsia="仿宋" w:cs="仿宋"/>
          <w:bCs/>
          <w:sz w:val="32"/>
          <w:szCs w:val="32"/>
        </w:rPr>
        <w:t>进行名额分配，特殊情况的须由评审委员会开会讨论后确定；</w:t>
      </w:r>
      <w:r>
        <w:rPr>
          <w:rFonts w:hint="eastAsia" w:ascii="仿宋" w:hAnsi="仿宋" w:eastAsia="仿宋" w:cs="仿宋"/>
          <w:sz w:val="32"/>
          <w:szCs w:val="32"/>
        </w:rPr>
        <w:t>其余研究生（包括破格录取的研究生）确定为三等奖学金。</w:t>
      </w:r>
    </w:p>
    <w:p>
      <w:pPr>
        <w:ind w:firstLine="640" w:firstLineChars="200"/>
        <w:rPr>
          <w:rFonts w:ascii="仿宋" w:hAnsi="仿宋" w:eastAsia="仿宋" w:cs="仿宋"/>
          <w:bCs/>
          <w:sz w:val="32"/>
          <w:szCs w:val="32"/>
        </w:rPr>
      </w:pPr>
      <w:r>
        <w:rPr>
          <w:rFonts w:hint="eastAsia" w:ascii="仿宋" w:hAnsi="仿宋" w:eastAsia="仿宋" w:cs="仿宋"/>
          <w:sz w:val="32"/>
          <w:szCs w:val="32"/>
        </w:rPr>
        <w:t>（二）二、三年级研究生重点考虑前一年课程成绩（学位课程成绩无不及格）、科研成果情况、参赛获奖和社会服务等方面的情况综合评定评分，按照得分从高到低排序，根据二、三年级分配的获奖名额来确定一、二、三等奖学金获得者，</w:t>
      </w:r>
      <w:r>
        <w:rPr>
          <w:rFonts w:hint="eastAsia" w:ascii="仿宋" w:hAnsi="仿宋" w:eastAsia="仿宋" w:cs="仿宋"/>
          <w:bCs/>
          <w:sz w:val="32"/>
          <w:szCs w:val="32"/>
        </w:rPr>
        <w:t>特殊情况的须由评审委员会开会讨论后确定。</w:t>
      </w:r>
    </w:p>
    <w:p>
      <w:pPr>
        <w:ind w:firstLine="640" w:firstLineChars="200"/>
        <w:rPr>
          <w:rFonts w:ascii="仿宋" w:hAnsi="仿宋" w:eastAsia="仿宋" w:cs="仿宋"/>
          <w:b/>
          <w:color w:val="FF0000"/>
          <w:sz w:val="32"/>
          <w:szCs w:val="32"/>
          <w:u w:val="single"/>
        </w:rPr>
      </w:pPr>
      <w:r>
        <w:rPr>
          <w:rFonts w:hint="eastAsia" w:ascii="仿宋" w:hAnsi="仿宋" w:eastAsia="仿宋" w:cs="仿宋"/>
          <w:sz w:val="32"/>
          <w:szCs w:val="32"/>
        </w:rPr>
        <w:t>（三）若被评为研究生国家奖学金的研究生则当年学业奖学金被评为三等奖，落选研究生国家奖学金的研究生则按</w:t>
      </w:r>
      <w:r>
        <w:rPr>
          <w:rFonts w:hint="eastAsia" w:ascii="仿宋" w:hAnsi="仿宋" w:eastAsia="仿宋" w:cs="仿宋"/>
          <w:bCs/>
          <w:sz w:val="32"/>
          <w:szCs w:val="32"/>
        </w:rPr>
        <w:t>相应年级提交相关材料进行学业奖学金的综合评定。</w:t>
      </w:r>
    </w:p>
    <w:p>
      <w:pPr>
        <w:ind w:firstLine="640" w:firstLineChars="200"/>
        <w:rPr>
          <w:rFonts w:ascii="仿宋" w:hAnsi="仿宋" w:eastAsia="仿宋" w:cs="仿宋"/>
          <w:sz w:val="32"/>
          <w:szCs w:val="32"/>
        </w:rPr>
      </w:pPr>
      <w:r>
        <w:rPr>
          <w:rFonts w:hint="eastAsia" w:ascii="仿宋" w:hAnsi="仿宋" w:eastAsia="仿宋" w:cs="仿宋"/>
          <w:sz w:val="32"/>
          <w:szCs w:val="32"/>
        </w:rPr>
        <w:t>（四）二、三年级研究生课程成绩采用绩点的计算方式将学位课程进行量化统计，计分方法如下：</w:t>
      </w:r>
    </w:p>
    <w:p>
      <w:pPr>
        <w:ind w:firstLine="640" w:firstLineChars="200"/>
        <w:rPr>
          <w:rFonts w:ascii="仿宋" w:hAnsi="仿宋" w:eastAsia="仿宋" w:cs="仿宋"/>
          <w:sz w:val="32"/>
          <w:szCs w:val="32"/>
        </w:rPr>
      </w:pPr>
      <w:r>
        <w:rPr>
          <w:rFonts w:hint="eastAsia" w:ascii="仿宋" w:hAnsi="仿宋" w:eastAsia="仿宋" w:cs="仿宋"/>
          <w:sz w:val="32"/>
          <w:szCs w:val="32"/>
        </w:rPr>
        <w:t>75-79分，计为2.5-2.9分</w:t>
      </w:r>
    </w:p>
    <w:p>
      <w:pPr>
        <w:ind w:firstLine="640" w:firstLineChars="200"/>
        <w:rPr>
          <w:rFonts w:ascii="仿宋" w:hAnsi="仿宋" w:eastAsia="仿宋" w:cs="仿宋"/>
          <w:sz w:val="32"/>
          <w:szCs w:val="32"/>
        </w:rPr>
      </w:pPr>
      <w:r>
        <w:rPr>
          <w:rFonts w:hint="eastAsia" w:ascii="仿宋" w:hAnsi="仿宋" w:eastAsia="仿宋" w:cs="仿宋"/>
          <w:sz w:val="32"/>
          <w:szCs w:val="32"/>
        </w:rPr>
        <w:t>80-89分，计为3.0-3.9分</w:t>
      </w:r>
    </w:p>
    <w:p>
      <w:pPr>
        <w:ind w:firstLine="640" w:firstLineChars="200"/>
        <w:rPr>
          <w:rFonts w:ascii="仿宋" w:hAnsi="仿宋" w:eastAsia="仿宋" w:cs="仿宋"/>
          <w:sz w:val="32"/>
          <w:szCs w:val="32"/>
        </w:rPr>
      </w:pPr>
      <w:r>
        <w:rPr>
          <w:rFonts w:hint="eastAsia" w:ascii="仿宋" w:hAnsi="仿宋" w:eastAsia="仿宋" w:cs="仿宋"/>
          <w:sz w:val="32"/>
          <w:szCs w:val="32"/>
        </w:rPr>
        <w:t>90-99分，计为4.0-4.9分</w:t>
      </w:r>
    </w:p>
    <w:p>
      <w:pPr>
        <w:ind w:firstLine="640" w:firstLineChars="200"/>
        <w:rPr>
          <w:rFonts w:ascii="仿宋" w:hAnsi="仿宋" w:eastAsia="仿宋" w:cs="仿宋"/>
          <w:sz w:val="32"/>
          <w:szCs w:val="32"/>
        </w:rPr>
      </w:pPr>
      <w:r>
        <w:rPr>
          <w:rFonts w:hint="eastAsia" w:ascii="仿宋" w:hAnsi="仿宋" w:eastAsia="仿宋" w:cs="仿宋"/>
          <w:sz w:val="32"/>
          <w:szCs w:val="32"/>
        </w:rPr>
        <w:t>所有学位课程的绩点总和除以学位课程的门数，取得的平均数就是学位课程的成绩。</w:t>
      </w:r>
    </w:p>
    <w:p>
      <w:pPr>
        <w:ind w:firstLine="640" w:firstLineChars="200"/>
        <w:rPr>
          <w:rFonts w:ascii="仿宋" w:hAnsi="仿宋" w:eastAsia="仿宋" w:cs="仿宋"/>
          <w:sz w:val="32"/>
          <w:szCs w:val="32"/>
        </w:rPr>
      </w:pPr>
      <w:r>
        <w:rPr>
          <w:rFonts w:hint="eastAsia" w:ascii="仿宋" w:hAnsi="仿宋" w:eastAsia="仿宋" w:cs="仿宋"/>
          <w:sz w:val="32"/>
          <w:szCs w:val="32"/>
        </w:rPr>
        <w:t>（五）二、三年级研究生有一定科研能力和发展潜力。</w:t>
      </w:r>
    </w:p>
    <w:p>
      <w:pPr>
        <w:ind w:firstLine="640" w:firstLineChars="200"/>
        <w:rPr>
          <w:rFonts w:ascii="仿宋" w:hAnsi="仿宋" w:eastAsia="仿宋" w:cs="仿宋"/>
          <w:sz w:val="32"/>
          <w:szCs w:val="32"/>
        </w:rPr>
      </w:pPr>
      <w:r>
        <w:rPr>
          <w:rFonts w:hint="eastAsia" w:ascii="仿宋" w:hAnsi="仿宋" w:eastAsia="仿宋" w:cs="仿宋"/>
          <w:sz w:val="32"/>
          <w:szCs w:val="32"/>
        </w:rPr>
        <w:t>申请评奖的各种学术成果，应与本学科（专业）相关。在省级以上期刊公开发表科研论文、调研报告、咨询报告等（同等条件下，学生为第一作者的优先；导师为第一作者，学生为第二作者，等同于学生为第一作者）；获得省级及以上学术、科技、文化等竞赛奖项（同等条件下优先）。</w:t>
      </w:r>
    </w:p>
    <w:p>
      <w:pPr>
        <w:ind w:firstLine="640" w:firstLineChars="200"/>
        <w:rPr>
          <w:rFonts w:ascii="仿宋" w:hAnsi="仿宋" w:eastAsia="仿宋" w:cs="仿宋"/>
          <w:sz w:val="32"/>
          <w:szCs w:val="32"/>
        </w:rPr>
      </w:pPr>
      <w:r>
        <w:rPr>
          <w:rFonts w:hint="eastAsia" w:ascii="仿宋" w:hAnsi="仿宋" w:eastAsia="仿宋" w:cs="仿宋"/>
          <w:sz w:val="32"/>
          <w:szCs w:val="32"/>
        </w:rPr>
        <w:t>科研成果量化统计方法如下：</w:t>
      </w:r>
    </w:p>
    <w:p>
      <w:pPr>
        <w:ind w:firstLine="640" w:firstLineChars="200"/>
        <w:rPr>
          <w:rFonts w:ascii="仿宋" w:hAnsi="仿宋" w:eastAsia="仿宋" w:cs="仿宋"/>
          <w:sz w:val="32"/>
          <w:szCs w:val="32"/>
        </w:rPr>
      </w:pPr>
      <w:r>
        <w:rPr>
          <w:rFonts w:hint="eastAsia" w:ascii="仿宋" w:hAnsi="仿宋" w:eastAsia="仿宋" w:cs="仿宋"/>
          <w:sz w:val="32"/>
          <w:szCs w:val="32"/>
        </w:rPr>
        <w:t>1.论文</w:t>
      </w:r>
    </w:p>
    <w:p>
      <w:pPr>
        <w:ind w:firstLine="640" w:firstLineChars="200"/>
        <w:rPr>
          <w:rFonts w:ascii="仿宋" w:hAnsi="仿宋" w:eastAsia="仿宋" w:cs="仿宋"/>
          <w:sz w:val="32"/>
          <w:szCs w:val="32"/>
        </w:rPr>
      </w:pPr>
      <w:r>
        <w:rPr>
          <w:rFonts w:hint="eastAsia" w:ascii="仿宋" w:hAnsi="仿宋" w:eastAsia="仿宋" w:cs="仿宋"/>
          <w:sz w:val="32"/>
          <w:szCs w:val="32"/>
        </w:rPr>
        <w:t>各类期刊级别标准及相应计分项如下表：</w:t>
      </w:r>
    </w:p>
    <w:tbl>
      <w:tblPr>
        <w:tblStyle w:val="7"/>
        <w:tblW w:w="868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61"/>
        <w:gridCol w:w="1303"/>
        <w:gridCol w:w="1251"/>
        <w:gridCol w:w="162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5" w:hRule="atLeast"/>
        </w:trPr>
        <w:tc>
          <w:tcPr>
            <w:tcW w:w="552" w:type="dxa"/>
            <w:textDirection w:val="tbRlV"/>
            <w:vAlign w:val="center"/>
          </w:tcPr>
          <w:p>
            <w:pPr>
              <w:ind w:left="113" w:right="113"/>
              <w:rPr>
                <w:rFonts w:ascii="仿宋" w:hAnsi="仿宋" w:eastAsia="仿宋" w:cs="仿宋"/>
                <w:sz w:val="32"/>
                <w:szCs w:val="32"/>
              </w:rPr>
            </w:pPr>
            <w:r>
              <w:rPr>
                <w:rFonts w:hint="eastAsia" w:ascii="仿宋" w:hAnsi="仿宋" w:eastAsia="仿宋" w:cs="仿宋"/>
                <w:sz w:val="32"/>
                <w:szCs w:val="32"/>
              </w:rPr>
              <w:t>期 刊 级 别</w:t>
            </w:r>
          </w:p>
        </w:tc>
        <w:tc>
          <w:tcPr>
            <w:tcW w:w="1261" w:type="dxa"/>
          </w:tcPr>
          <w:p>
            <w:pPr>
              <w:rPr>
                <w:rFonts w:ascii="仿宋" w:hAnsi="仿宋" w:eastAsia="仿宋" w:cs="仿宋"/>
                <w:sz w:val="32"/>
                <w:szCs w:val="32"/>
              </w:rPr>
            </w:pPr>
            <w:r>
              <w:rPr>
                <w:rFonts w:hint="eastAsia" w:ascii="仿宋" w:hAnsi="仿宋" w:eastAsia="仿宋" w:cs="仿宋"/>
                <w:sz w:val="32"/>
                <w:szCs w:val="32"/>
              </w:rPr>
              <w:t>T1 类：</w:t>
            </w:r>
          </w:p>
          <w:p>
            <w:pPr>
              <w:rPr>
                <w:rFonts w:ascii="仿宋" w:hAnsi="仿宋" w:eastAsia="仿宋" w:cs="仿宋"/>
                <w:sz w:val="32"/>
                <w:szCs w:val="32"/>
              </w:rPr>
            </w:pPr>
            <w:r>
              <w:rPr>
                <w:rFonts w:hint="eastAsia" w:ascii="仿宋" w:hAnsi="仿宋" w:eastAsia="仿宋" w:cs="仿宋"/>
                <w:sz w:val="32"/>
                <w:szCs w:val="32"/>
              </w:rPr>
              <w:t>《中国社会科学》</w:t>
            </w:r>
          </w:p>
        </w:tc>
        <w:tc>
          <w:tcPr>
            <w:tcW w:w="1303" w:type="dxa"/>
          </w:tcPr>
          <w:p>
            <w:pPr>
              <w:rPr>
                <w:rFonts w:ascii="仿宋" w:hAnsi="仿宋" w:eastAsia="仿宋" w:cs="仿宋"/>
                <w:sz w:val="32"/>
                <w:szCs w:val="32"/>
              </w:rPr>
            </w:pPr>
            <w:r>
              <w:rPr>
                <w:rFonts w:hint="eastAsia" w:ascii="仿宋" w:hAnsi="仿宋" w:eastAsia="仿宋" w:cs="仿宋"/>
                <w:sz w:val="32"/>
                <w:szCs w:val="32"/>
              </w:rPr>
              <w:t>T2 类：</w:t>
            </w:r>
          </w:p>
          <w:p>
            <w:pPr>
              <w:rPr>
                <w:rFonts w:ascii="仿宋" w:hAnsi="仿宋" w:eastAsia="仿宋" w:cs="仿宋"/>
                <w:sz w:val="32"/>
                <w:szCs w:val="32"/>
              </w:rPr>
            </w:pPr>
            <w:r>
              <w:rPr>
                <w:rFonts w:hint="eastAsia" w:ascii="仿宋" w:hAnsi="仿宋" w:eastAsia="仿宋" w:cs="仿宋"/>
                <w:sz w:val="32"/>
                <w:szCs w:val="32"/>
              </w:rPr>
              <w:t>SSCI,A&amp;HCI,国内顶级期刊</w:t>
            </w:r>
          </w:p>
        </w:tc>
        <w:tc>
          <w:tcPr>
            <w:tcW w:w="1251" w:type="dxa"/>
          </w:tcPr>
          <w:p>
            <w:pPr>
              <w:rPr>
                <w:rFonts w:ascii="仿宋" w:hAnsi="仿宋" w:eastAsia="仿宋" w:cs="仿宋"/>
                <w:sz w:val="32"/>
                <w:szCs w:val="32"/>
              </w:rPr>
            </w:pPr>
            <w:r>
              <w:rPr>
                <w:rFonts w:hint="eastAsia" w:ascii="仿宋" w:hAnsi="仿宋" w:eastAsia="仿宋" w:cs="仿宋"/>
                <w:sz w:val="32"/>
                <w:szCs w:val="32"/>
              </w:rPr>
              <w:t>A 类：</w:t>
            </w:r>
          </w:p>
          <w:p>
            <w:pPr>
              <w:rPr>
                <w:rFonts w:ascii="仿宋" w:hAnsi="仿宋" w:eastAsia="仿宋" w:cs="仿宋"/>
                <w:sz w:val="32"/>
                <w:szCs w:val="32"/>
              </w:rPr>
            </w:pPr>
            <w:r>
              <w:rPr>
                <w:rFonts w:hint="eastAsia" w:ascii="仿宋" w:hAnsi="仿宋" w:eastAsia="仿宋" w:cs="仿宋"/>
                <w:sz w:val="32"/>
                <w:szCs w:val="32"/>
              </w:rPr>
              <w:t>国内权威刊物</w:t>
            </w:r>
          </w:p>
        </w:tc>
        <w:tc>
          <w:tcPr>
            <w:tcW w:w="1620" w:type="dxa"/>
          </w:tcPr>
          <w:p>
            <w:pPr>
              <w:rPr>
                <w:rFonts w:ascii="仿宋" w:hAnsi="仿宋" w:eastAsia="仿宋" w:cs="仿宋"/>
                <w:sz w:val="32"/>
                <w:szCs w:val="32"/>
              </w:rPr>
            </w:pPr>
            <w:r>
              <w:rPr>
                <w:rFonts w:hint="eastAsia" w:ascii="仿宋" w:hAnsi="仿宋" w:eastAsia="仿宋" w:cs="仿宋"/>
                <w:sz w:val="32"/>
                <w:szCs w:val="32"/>
              </w:rPr>
              <w:t>B 类:</w:t>
            </w:r>
          </w:p>
          <w:p>
            <w:pPr>
              <w:rPr>
                <w:rFonts w:ascii="仿宋" w:hAnsi="仿宋" w:eastAsia="仿宋" w:cs="仿宋"/>
                <w:sz w:val="32"/>
                <w:szCs w:val="32"/>
              </w:rPr>
            </w:pPr>
            <w:r>
              <w:rPr>
                <w:rFonts w:hint="eastAsia" w:ascii="仿宋" w:hAnsi="仿宋" w:eastAsia="仿宋" w:cs="仿宋"/>
                <w:sz w:val="32"/>
                <w:szCs w:val="32"/>
              </w:rPr>
              <w:t>CSSCI来源刊物（不含拓展版）</w:t>
            </w:r>
          </w:p>
        </w:tc>
        <w:tc>
          <w:tcPr>
            <w:tcW w:w="1440" w:type="dxa"/>
          </w:tcPr>
          <w:p>
            <w:pPr>
              <w:rPr>
                <w:rFonts w:ascii="仿宋" w:hAnsi="仿宋" w:eastAsia="仿宋" w:cs="仿宋"/>
                <w:sz w:val="32"/>
                <w:szCs w:val="32"/>
              </w:rPr>
            </w:pPr>
            <w:r>
              <w:rPr>
                <w:rFonts w:hint="eastAsia" w:ascii="仿宋" w:hAnsi="仿宋" w:eastAsia="仿宋" w:cs="仿宋"/>
                <w:sz w:val="32"/>
                <w:szCs w:val="32"/>
              </w:rPr>
              <w:t>C 类:</w:t>
            </w:r>
          </w:p>
          <w:p>
            <w:pPr>
              <w:rPr>
                <w:rFonts w:ascii="仿宋" w:hAnsi="仿宋" w:eastAsia="仿宋" w:cs="仿宋"/>
                <w:sz w:val="32"/>
                <w:szCs w:val="32"/>
              </w:rPr>
            </w:pPr>
            <w:r>
              <w:rPr>
                <w:rFonts w:hint="eastAsia" w:ascii="仿宋" w:hAnsi="仿宋" w:eastAsia="仿宋" w:cs="仿宋"/>
                <w:sz w:val="32"/>
                <w:szCs w:val="32"/>
              </w:rPr>
              <w:t>北大图书馆中文核心期刊论文，CSSCI拓展版期刊</w:t>
            </w:r>
          </w:p>
        </w:tc>
        <w:tc>
          <w:tcPr>
            <w:tcW w:w="1260" w:type="dxa"/>
          </w:tcPr>
          <w:p>
            <w:pPr>
              <w:rPr>
                <w:rFonts w:ascii="仿宋" w:hAnsi="仿宋" w:eastAsia="仿宋" w:cs="仿宋"/>
                <w:sz w:val="32"/>
                <w:szCs w:val="32"/>
              </w:rPr>
            </w:pPr>
            <w:r>
              <w:rPr>
                <w:rFonts w:hint="eastAsia" w:ascii="仿宋" w:hAnsi="仿宋" w:eastAsia="仿宋" w:cs="仿宋"/>
                <w:sz w:val="32"/>
                <w:szCs w:val="32"/>
              </w:rPr>
              <w:t>D 类:</w:t>
            </w:r>
          </w:p>
          <w:p>
            <w:pPr>
              <w:rPr>
                <w:rFonts w:ascii="仿宋" w:hAnsi="仿宋" w:eastAsia="仿宋" w:cs="仿宋"/>
                <w:sz w:val="32"/>
                <w:szCs w:val="32"/>
              </w:rPr>
            </w:pPr>
            <w:r>
              <w:rPr>
                <w:rFonts w:hint="eastAsia" w:ascii="仿宋" w:hAnsi="仿宋" w:eastAsia="仿宋" w:cs="仿宋"/>
                <w:sz w:val="32"/>
                <w:szCs w:val="32"/>
              </w:rPr>
              <w:t>普通期刊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52" w:type="dxa"/>
            <w:vAlign w:val="center"/>
          </w:tcPr>
          <w:p>
            <w:pPr>
              <w:jc w:val="center"/>
              <w:rPr>
                <w:rFonts w:ascii="仿宋" w:hAnsi="仿宋" w:eastAsia="仿宋" w:cs="仿宋"/>
                <w:sz w:val="32"/>
                <w:szCs w:val="32"/>
              </w:rPr>
            </w:pPr>
            <w:r>
              <w:rPr>
                <w:rFonts w:hint="eastAsia" w:ascii="仿宋" w:hAnsi="仿宋" w:eastAsia="仿宋" w:cs="仿宋"/>
                <w:sz w:val="32"/>
                <w:szCs w:val="32"/>
              </w:rPr>
              <w:t>分</w:t>
            </w: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60</w:t>
            </w:r>
          </w:p>
        </w:tc>
        <w:tc>
          <w:tcPr>
            <w:tcW w:w="1303" w:type="dxa"/>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251"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c>
          <w:tcPr>
            <w:tcW w:w="1620" w:type="dxa"/>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1440" w:type="dxa"/>
            <w:vAlign w:val="center"/>
          </w:tcPr>
          <w:p>
            <w:pPr>
              <w:jc w:val="center"/>
              <w:rPr>
                <w:rFonts w:ascii="仿宋" w:hAnsi="仿宋" w:eastAsia="仿宋" w:cs="仿宋"/>
                <w:sz w:val="32"/>
                <w:szCs w:val="32"/>
              </w:rPr>
            </w:pPr>
            <w:r>
              <w:rPr>
                <w:rFonts w:hint="eastAsia" w:ascii="仿宋" w:hAnsi="仿宋" w:eastAsia="仿宋" w:cs="仿宋"/>
                <w:sz w:val="32"/>
                <w:szCs w:val="32"/>
              </w:rPr>
              <w:t>6</w:t>
            </w:r>
          </w:p>
        </w:tc>
        <w:tc>
          <w:tcPr>
            <w:tcW w:w="1260" w:type="dxa"/>
            <w:vAlign w:val="center"/>
          </w:tcPr>
          <w:p>
            <w:pPr>
              <w:jc w:val="center"/>
              <w:rPr>
                <w:rFonts w:ascii="仿宋" w:hAnsi="仿宋" w:eastAsia="仿宋" w:cs="仿宋"/>
                <w:sz w:val="32"/>
                <w:szCs w:val="32"/>
              </w:rPr>
            </w:pPr>
            <w:r>
              <w:rPr>
                <w:rFonts w:hint="eastAsia" w:ascii="仿宋" w:hAnsi="仿宋" w:eastAsia="仿宋" w:cs="仿宋"/>
                <w:sz w:val="32"/>
                <w:szCs w:val="32"/>
              </w:rPr>
              <w:t>3</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注明：</w:t>
      </w:r>
    </w:p>
    <w:p>
      <w:pPr>
        <w:ind w:firstLine="640" w:firstLineChars="200"/>
        <w:rPr>
          <w:rFonts w:ascii="仿宋" w:hAnsi="仿宋" w:eastAsia="仿宋" w:cs="仿宋"/>
          <w:sz w:val="32"/>
          <w:szCs w:val="32"/>
        </w:rPr>
      </w:pPr>
      <w:r>
        <w:rPr>
          <w:rFonts w:hint="eastAsia" w:ascii="仿宋" w:hAnsi="仿宋" w:eastAsia="仿宋" w:cs="仿宋"/>
          <w:sz w:val="32"/>
          <w:szCs w:val="32"/>
        </w:rPr>
        <w:t>（1）发表的论文必须是学术论文，字数在4500字以上。</w:t>
      </w:r>
    </w:p>
    <w:p>
      <w:pPr>
        <w:ind w:firstLine="640" w:firstLineChars="200"/>
        <w:rPr>
          <w:rFonts w:ascii="仿宋" w:hAnsi="仿宋" w:eastAsia="仿宋" w:cs="仿宋"/>
          <w:sz w:val="32"/>
          <w:szCs w:val="32"/>
        </w:rPr>
      </w:pPr>
      <w:r>
        <w:rPr>
          <w:rFonts w:hint="eastAsia" w:ascii="仿宋" w:hAnsi="仿宋" w:eastAsia="仿宋" w:cs="仿宋"/>
          <w:sz w:val="32"/>
          <w:szCs w:val="32"/>
        </w:rPr>
        <w:t>（2）增刊等非法刊物发表的论文不予计分。</w:t>
      </w:r>
    </w:p>
    <w:p>
      <w:pPr>
        <w:ind w:firstLine="640" w:firstLineChars="200"/>
        <w:rPr>
          <w:rFonts w:ascii="仿宋" w:hAnsi="仿宋" w:eastAsia="仿宋" w:cs="仿宋"/>
          <w:sz w:val="32"/>
          <w:szCs w:val="32"/>
        </w:rPr>
      </w:pPr>
      <w:r>
        <w:rPr>
          <w:rFonts w:hint="eastAsia" w:ascii="仿宋" w:hAnsi="仿宋" w:eastAsia="仿宋" w:cs="仿宋"/>
          <w:sz w:val="32"/>
          <w:szCs w:val="32"/>
        </w:rPr>
        <w:t>（3）以独立作者发表论文全额计分；若有多人合作发表论文，采用“连续六四分方式”，即第一作者获得计分的60%，第二作者为扣除第一作者计分之后的余额的60%，第三作者为扣除第一作者、第二作者计分之后的余额的60%，如此类推，最后余额属于最后一位作者。</w:t>
      </w:r>
    </w:p>
    <w:p>
      <w:pPr>
        <w:ind w:firstLine="640" w:firstLineChars="200"/>
        <w:rPr>
          <w:rFonts w:ascii="仿宋" w:hAnsi="仿宋" w:eastAsia="仿宋" w:cs="仿宋"/>
          <w:sz w:val="32"/>
          <w:szCs w:val="32"/>
        </w:rPr>
      </w:pPr>
      <w:r>
        <w:rPr>
          <w:rFonts w:hint="eastAsia" w:ascii="仿宋" w:hAnsi="仿宋" w:eastAsia="仿宋" w:cs="仿宋"/>
          <w:sz w:val="32"/>
          <w:szCs w:val="32"/>
        </w:rPr>
        <w:t>（4）导师为第一作者，若有三位及以上作者为研究生，研究生为第二作者，参评时可视研究生为第一作者，并获得相应等级刊物计分的60%，第三位及以后作者计分方式按照第（3）条计算方法计分。</w:t>
      </w:r>
    </w:p>
    <w:p>
      <w:pPr>
        <w:ind w:firstLine="640" w:firstLineChars="200"/>
        <w:rPr>
          <w:rFonts w:ascii="仿宋" w:hAnsi="仿宋" w:eastAsia="仿宋" w:cs="仿宋"/>
          <w:sz w:val="32"/>
          <w:szCs w:val="32"/>
        </w:rPr>
      </w:pPr>
      <w:r>
        <w:rPr>
          <w:rFonts w:hint="eastAsia" w:ascii="仿宋" w:hAnsi="仿宋" w:eastAsia="仿宋" w:cs="仿宋"/>
          <w:sz w:val="32"/>
          <w:szCs w:val="32"/>
        </w:rPr>
        <w:t>（5）如果研究生以独立作者在B类及以上刊物上公开发表论文，则在原有分值基础上*2；如果研究生以第一作者在B类及以上刊物上公开发表论文，则在原有分值基础上*1.5；如果导师为第一作者，研究生为第二作者在B类及以上刊物上公开发表论文，则按原有分值计分。</w:t>
      </w:r>
    </w:p>
    <w:p>
      <w:pPr>
        <w:ind w:firstLine="640" w:firstLineChars="200"/>
        <w:rPr>
          <w:rFonts w:ascii="仿宋" w:hAnsi="仿宋" w:eastAsia="仿宋" w:cs="仿宋"/>
          <w:sz w:val="32"/>
          <w:szCs w:val="32"/>
        </w:rPr>
      </w:pPr>
      <w:r>
        <w:rPr>
          <w:rFonts w:hint="eastAsia" w:ascii="仿宋" w:hAnsi="仿宋" w:eastAsia="仿宋" w:cs="仿宋"/>
          <w:sz w:val="32"/>
          <w:szCs w:val="32"/>
        </w:rPr>
        <w:t>（6）参加学术会议、公开出版的论文集的文章（有书号）等同于D类刊物论文分值计分。</w:t>
      </w:r>
    </w:p>
    <w:p>
      <w:pPr>
        <w:ind w:firstLine="640" w:firstLineChars="200"/>
        <w:rPr>
          <w:rFonts w:ascii="仿宋" w:hAnsi="仿宋" w:eastAsia="仿宋" w:cs="仿宋"/>
          <w:sz w:val="32"/>
          <w:szCs w:val="32"/>
        </w:rPr>
      </w:pPr>
      <w:r>
        <w:rPr>
          <w:rFonts w:hint="eastAsia" w:ascii="仿宋" w:hAnsi="仿宋" w:eastAsia="仿宋" w:cs="仿宋"/>
          <w:sz w:val="32"/>
          <w:szCs w:val="32"/>
        </w:rPr>
        <w:t>（7）被人大复印报刊资料全文转载等同于C类期刊，如果是在B类期刊及以上刊物上公开发表的论文，不重复记分，只算最高分。</w:t>
      </w:r>
    </w:p>
    <w:p>
      <w:pPr>
        <w:ind w:firstLine="640" w:firstLineChars="200"/>
        <w:rPr>
          <w:rFonts w:ascii="仿宋" w:hAnsi="仿宋" w:eastAsia="仿宋" w:cs="仿宋"/>
          <w:sz w:val="32"/>
          <w:szCs w:val="32"/>
        </w:rPr>
      </w:pPr>
      <w:r>
        <w:rPr>
          <w:rFonts w:hint="eastAsia" w:ascii="仿宋" w:hAnsi="仿宋" w:eastAsia="仿宋" w:cs="仿宋"/>
          <w:sz w:val="32"/>
          <w:szCs w:val="32"/>
        </w:rPr>
        <w:t>（8）D类普通期刊论文的的数量计分不多于3篇。</w:t>
      </w:r>
    </w:p>
    <w:p>
      <w:pPr>
        <w:ind w:firstLine="640" w:firstLineChars="200"/>
        <w:rPr>
          <w:rFonts w:ascii="仿宋" w:hAnsi="仿宋" w:eastAsia="仿宋" w:cs="仿宋"/>
          <w:bCs/>
          <w:sz w:val="32"/>
          <w:szCs w:val="32"/>
        </w:rPr>
      </w:pPr>
      <w:r>
        <w:rPr>
          <w:rFonts w:hint="eastAsia" w:ascii="仿宋" w:hAnsi="仿宋" w:eastAsia="仿宋" w:cs="仿宋"/>
          <w:bCs/>
          <w:sz w:val="32"/>
          <w:szCs w:val="32"/>
        </w:rPr>
        <w:t>（9）以上科研成果以期刊原件为准，用稿通知无效。</w:t>
      </w:r>
    </w:p>
    <w:p>
      <w:pPr>
        <w:ind w:firstLine="640" w:firstLineChars="200"/>
        <w:rPr>
          <w:rFonts w:ascii="仿宋" w:hAnsi="仿宋" w:eastAsia="仿宋" w:cs="仿宋"/>
          <w:sz w:val="32"/>
          <w:szCs w:val="32"/>
        </w:rPr>
      </w:pPr>
      <w:r>
        <w:rPr>
          <w:rFonts w:hint="eastAsia" w:ascii="仿宋" w:hAnsi="仿宋" w:eastAsia="仿宋" w:cs="仿宋"/>
          <w:sz w:val="32"/>
          <w:szCs w:val="32"/>
        </w:rPr>
        <w:t>2．课题</w:t>
      </w:r>
    </w:p>
    <w:p>
      <w:pPr>
        <w:ind w:firstLine="640" w:firstLineChars="200"/>
        <w:rPr>
          <w:rFonts w:ascii="仿宋" w:hAnsi="仿宋" w:eastAsia="仿宋" w:cs="仿宋"/>
          <w:sz w:val="32"/>
          <w:szCs w:val="32"/>
        </w:rPr>
      </w:pPr>
      <w:r>
        <w:rPr>
          <w:rFonts w:hint="eastAsia" w:ascii="仿宋" w:hAnsi="仿宋" w:eastAsia="仿宋" w:cs="仿宋"/>
          <w:sz w:val="32"/>
          <w:szCs w:val="32"/>
        </w:rPr>
        <w:t>（1）参与老师主持的课题，按下面规定计分：</w:t>
      </w:r>
    </w:p>
    <w:p>
      <w:pPr>
        <w:ind w:firstLine="640" w:firstLineChars="200"/>
        <w:rPr>
          <w:rFonts w:ascii="仿宋" w:hAnsi="仿宋" w:eastAsia="仿宋" w:cs="仿宋"/>
          <w:sz w:val="32"/>
          <w:szCs w:val="32"/>
        </w:rPr>
      </w:pPr>
      <w:r>
        <w:rPr>
          <w:rFonts w:hint="eastAsia" w:ascii="仿宋" w:hAnsi="仿宋" w:eastAsia="仿宋" w:cs="仿宋"/>
          <w:sz w:val="32"/>
          <w:szCs w:val="32"/>
        </w:rPr>
        <w:t>A．参与国家级课题每项计2分；</w:t>
      </w:r>
    </w:p>
    <w:p>
      <w:pPr>
        <w:ind w:firstLine="640" w:firstLineChars="200"/>
        <w:rPr>
          <w:rFonts w:ascii="仿宋" w:hAnsi="仿宋" w:eastAsia="仿宋" w:cs="仿宋"/>
          <w:sz w:val="32"/>
          <w:szCs w:val="32"/>
        </w:rPr>
      </w:pPr>
      <w:r>
        <w:rPr>
          <w:rFonts w:hint="eastAsia" w:ascii="仿宋" w:hAnsi="仿宋" w:eastAsia="仿宋" w:cs="仿宋"/>
          <w:sz w:val="32"/>
          <w:szCs w:val="32"/>
        </w:rPr>
        <w:t>B．参与省部级课题每项计1.5分；</w:t>
      </w:r>
    </w:p>
    <w:p>
      <w:pPr>
        <w:ind w:firstLine="640" w:firstLineChars="200"/>
        <w:rPr>
          <w:rFonts w:ascii="仿宋" w:hAnsi="仿宋" w:eastAsia="仿宋" w:cs="仿宋"/>
          <w:sz w:val="32"/>
          <w:szCs w:val="32"/>
        </w:rPr>
      </w:pPr>
      <w:r>
        <w:rPr>
          <w:rFonts w:hint="eastAsia" w:ascii="仿宋" w:hAnsi="仿宋" w:eastAsia="仿宋" w:cs="仿宋"/>
          <w:sz w:val="32"/>
          <w:szCs w:val="32"/>
        </w:rPr>
        <w:t>C．参与市厅级课题每项计1分；</w:t>
      </w:r>
    </w:p>
    <w:p>
      <w:pPr>
        <w:ind w:firstLine="640" w:firstLineChars="200"/>
        <w:rPr>
          <w:rFonts w:ascii="仿宋" w:hAnsi="仿宋" w:eastAsia="仿宋" w:cs="仿宋"/>
          <w:sz w:val="32"/>
          <w:szCs w:val="32"/>
        </w:rPr>
      </w:pPr>
      <w:r>
        <w:rPr>
          <w:rFonts w:hint="eastAsia" w:ascii="仿宋" w:hAnsi="仿宋" w:eastAsia="仿宋" w:cs="仿宋"/>
          <w:sz w:val="32"/>
          <w:szCs w:val="32"/>
        </w:rPr>
        <w:t>D．参与横向课题与校级课题每项计0.5分。</w:t>
      </w:r>
    </w:p>
    <w:p>
      <w:pPr>
        <w:ind w:firstLine="640" w:firstLineChars="200"/>
        <w:rPr>
          <w:rFonts w:ascii="仿宋" w:hAnsi="仿宋" w:eastAsia="仿宋" w:cs="仿宋"/>
          <w:sz w:val="32"/>
          <w:szCs w:val="32"/>
        </w:rPr>
      </w:pPr>
      <w:r>
        <w:rPr>
          <w:rFonts w:hint="eastAsia" w:ascii="仿宋" w:hAnsi="仿宋" w:eastAsia="仿宋" w:cs="仿宋"/>
          <w:sz w:val="32"/>
          <w:szCs w:val="32"/>
        </w:rPr>
        <w:t>注明：子课题等同于下一级课题。</w:t>
      </w:r>
    </w:p>
    <w:p>
      <w:pPr>
        <w:ind w:firstLine="640" w:firstLineChars="200"/>
        <w:rPr>
          <w:rFonts w:ascii="仿宋" w:hAnsi="仿宋" w:eastAsia="仿宋" w:cs="仿宋"/>
          <w:sz w:val="32"/>
          <w:szCs w:val="32"/>
        </w:rPr>
      </w:pPr>
      <w:r>
        <w:rPr>
          <w:rFonts w:hint="eastAsia" w:ascii="仿宋" w:hAnsi="仿宋" w:eastAsia="仿宋" w:cs="仿宋"/>
          <w:sz w:val="32"/>
          <w:szCs w:val="32"/>
        </w:rPr>
        <w:t>以上分值以课题组主要成员（不含主持人）排名顺序递减，（即第一名按100%计算，第二名按90%计算……），排第十名之后按10%分计算。</w:t>
      </w:r>
    </w:p>
    <w:p>
      <w:pPr>
        <w:ind w:firstLine="640" w:firstLineChars="200"/>
        <w:rPr>
          <w:rFonts w:ascii="仿宋" w:hAnsi="仿宋" w:eastAsia="仿宋" w:cs="仿宋"/>
          <w:sz w:val="32"/>
          <w:szCs w:val="32"/>
        </w:rPr>
      </w:pPr>
      <w:r>
        <w:rPr>
          <w:rFonts w:hint="eastAsia" w:ascii="仿宋" w:hAnsi="仿宋" w:eastAsia="仿宋" w:cs="仿宋"/>
          <w:sz w:val="32"/>
          <w:szCs w:val="32"/>
        </w:rPr>
        <w:t>(2)学生主持和参与同学的课题，按照下面规定计分：</w:t>
      </w:r>
    </w:p>
    <w:p>
      <w:pPr>
        <w:ind w:firstLine="640" w:firstLineChars="200"/>
        <w:rPr>
          <w:rFonts w:ascii="仿宋" w:hAnsi="仿宋" w:eastAsia="仿宋" w:cs="仿宋"/>
          <w:sz w:val="32"/>
          <w:szCs w:val="32"/>
        </w:rPr>
      </w:pPr>
      <w:r>
        <w:rPr>
          <w:rFonts w:hint="eastAsia" w:ascii="仿宋" w:hAnsi="仿宋" w:eastAsia="仿宋" w:cs="仿宋"/>
          <w:sz w:val="32"/>
          <w:szCs w:val="32"/>
        </w:rPr>
        <w:t>A．省部级课题每项计10分；</w:t>
      </w:r>
    </w:p>
    <w:p>
      <w:pPr>
        <w:ind w:firstLine="640" w:firstLineChars="200"/>
        <w:rPr>
          <w:rFonts w:ascii="仿宋" w:hAnsi="仿宋" w:eastAsia="仿宋" w:cs="仿宋"/>
          <w:sz w:val="32"/>
          <w:szCs w:val="32"/>
        </w:rPr>
      </w:pPr>
      <w:r>
        <w:rPr>
          <w:rFonts w:hint="eastAsia" w:ascii="仿宋" w:hAnsi="仿宋" w:eastAsia="仿宋" w:cs="仿宋"/>
          <w:sz w:val="32"/>
          <w:szCs w:val="32"/>
        </w:rPr>
        <w:t>B．市厅级课题每项计6分；</w:t>
      </w:r>
    </w:p>
    <w:p>
      <w:pPr>
        <w:ind w:firstLine="640" w:firstLineChars="200"/>
        <w:rPr>
          <w:rFonts w:ascii="仿宋" w:hAnsi="仿宋" w:eastAsia="仿宋" w:cs="仿宋"/>
          <w:sz w:val="32"/>
          <w:szCs w:val="32"/>
        </w:rPr>
      </w:pPr>
      <w:r>
        <w:rPr>
          <w:rFonts w:hint="eastAsia" w:ascii="仿宋" w:hAnsi="仿宋" w:eastAsia="仿宋" w:cs="仿宋"/>
          <w:sz w:val="32"/>
          <w:szCs w:val="32"/>
        </w:rPr>
        <w:t>C．社会组织举办的横向课题、校级课题每项计3分；</w:t>
      </w:r>
    </w:p>
    <w:p>
      <w:pPr>
        <w:ind w:firstLine="640" w:firstLineChars="200"/>
        <w:rPr>
          <w:rFonts w:ascii="仿宋" w:hAnsi="仿宋" w:eastAsia="仿宋" w:cs="仿宋"/>
          <w:sz w:val="32"/>
          <w:szCs w:val="32"/>
        </w:rPr>
      </w:pPr>
      <w:r>
        <w:rPr>
          <w:rFonts w:hint="eastAsia" w:ascii="仿宋" w:hAnsi="仿宋" w:eastAsia="仿宋" w:cs="仿宋"/>
          <w:sz w:val="32"/>
          <w:szCs w:val="32"/>
        </w:rPr>
        <w:t>注明：重大项目其项目级别计分按同级项目乘2系数计分，重点项目其项目级别计分按同级项目乘1.5系数计分。主持人和课题参与人采用“连续六四分方式”计分。</w:t>
      </w:r>
    </w:p>
    <w:p>
      <w:pPr>
        <w:ind w:firstLine="640" w:firstLineChars="200"/>
        <w:rPr>
          <w:rFonts w:ascii="仿宋" w:hAnsi="仿宋" w:eastAsia="仿宋" w:cs="仿宋"/>
          <w:sz w:val="32"/>
          <w:szCs w:val="32"/>
        </w:rPr>
      </w:pPr>
      <w:r>
        <w:rPr>
          <w:rFonts w:hint="eastAsia" w:ascii="仿宋" w:hAnsi="仿宋" w:eastAsia="仿宋" w:cs="仿宋"/>
          <w:sz w:val="32"/>
          <w:szCs w:val="32"/>
        </w:rPr>
        <w:t>3.学术著作</w:t>
      </w:r>
    </w:p>
    <w:p>
      <w:pPr>
        <w:ind w:firstLine="640" w:firstLineChars="200"/>
        <w:rPr>
          <w:rFonts w:ascii="仿宋" w:hAnsi="仿宋" w:eastAsia="仿宋" w:cs="仿宋"/>
          <w:sz w:val="32"/>
          <w:szCs w:val="32"/>
        </w:rPr>
      </w:pPr>
      <w:r>
        <w:rPr>
          <w:rFonts w:hint="eastAsia" w:ascii="仿宋" w:hAnsi="仿宋" w:eastAsia="仿宋" w:cs="仿宋"/>
          <w:sz w:val="32"/>
          <w:szCs w:val="32"/>
        </w:rPr>
        <w:t>（1）正式出版的学术著作、学术性译著、工具书、编著、教材，计分分值按其写作字数×计分标准确定。根据著作类别和出版社类别不同，具体计分标准如下表：</w:t>
      </w:r>
    </w:p>
    <w:tbl>
      <w:tblPr>
        <w:tblStyle w:val="7"/>
        <w:tblW w:w="7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6"/>
        <w:gridCol w:w="1982"/>
        <w:gridCol w:w="1995"/>
        <w:gridCol w:w="18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6" w:hRule="atLeast"/>
          <w:jc w:val="center"/>
        </w:trPr>
        <w:tc>
          <w:tcPr>
            <w:tcW w:w="1596" w:type="dxa"/>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40" w:firstLineChars="200"/>
              <w:rPr>
                <w:rFonts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1" locked="0" layoutInCell="1" allowOverlap="1">
                      <wp:simplePos x="0" y="0"/>
                      <wp:positionH relativeFrom="column">
                        <wp:posOffset>-50165</wp:posOffset>
                      </wp:positionH>
                      <wp:positionV relativeFrom="paragraph">
                        <wp:posOffset>579120</wp:posOffset>
                      </wp:positionV>
                      <wp:extent cx="600075" cy="49720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0075" cy="497205"/>
                              </a:xfrm>
                              <a:prstGeom prst="rect">
                                <a:avLst/>
                              </a:prstGeom>
                              <a:solidFill>
                                <a:srgbClr val="FFFFFF"/>
                              </a:solidFill>
                              <a:ln w="9525">
                                <a:noFill/>
                              </a:ln>
                            </wps:spPr>
                            <wps:txbx>
                              <w:txbxContent>
                                <w:p>
                                  <w:pPr>
                                    <w:jc w:val="center"/>
                                  </w:pPr>
                                  <w:r>
                                    <w:rPr>
                                      <w:rFonts w:hint="eastAsia"/>
                                    </w:rPr>
                                    <w:t>出版社</w:t>
                                  </w:r>
                                </w:p>
                                <w:p>
                                  <w:pPr>
                                    <w:jc w:val="center"/>
                                  </w:pPr>
                                  <w:r>
                                    <w:rPr>
                                      <w:rFonts w:hint="eastAsia"/>
                                    </w:rPr>
                                    <w:t>类别</w:t>
                                  </w:r>
                                </w:p>
                              </w:txbxContent>
                            </wps:txbx>
                            <wps:bodyPr upright="1"/>
                          </wps:wsp>
                        </a:graphicData>
                      </a:graphic>
                    </wp:anchor>
                  </w:drawing>
                </mc:Choice>
                <mc:Fallback>
                  <w:pict>
                    <v:shape id="Text Box 2" o:spid="_x0000_s1026" o:spt="202" type="#_x0000_t202" style="position:absolute;left:0pt;margin-left:-3.95pt;margin-top:45.6pt;height:39.15pt;width:47.25pt;z-index:-251656192;mso-width-relative:page;mso-height-relative:page;" fillcolor="#FFFFFF" filled="t" stroked="f" coordsize="21600,21600" o:gfxdata="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EpdwNYAAAAIAQAADwAAAAAAAAABACAAAAAiAAAAZHJzL2Rvd25yZXYueG1sUEsBAhQAFAAA&#10;AAgAh07iQBinu7+4AQAAfgMAAA4AAAAAAAAAAQAgAAAAJQEAAGRycy9lMm9Eb2MueG1sUEsFBgAA&#10;AAAGAAYAWQEAAE8FAAAAAA==&#10;">
                      <v:fill on="t" focussize="0,0"/>
                      <v:stroke on="f"/>
                      <v:imagedata o:title=""/>
                      <o:lock v:ext="edit" aspectratio="f"/>
                      <v:textbox>
                        <w:txbxContent>
                          <w:p>
                            <w:pPr>
                              <w:jc w:val="center"/>
                            </w:pPr>
                            <w:r>
                              <w:rPr>
                                <w:rFonts w:hint="eastAsia"/>
                              </w:rPr>
                              <w:t>出版社</w:t>
                            </w:r>
                          </w:p>
                          <w:p>
                            <w:pPr>
                              <w:jc w:val="center"/>
                            </w:pPr>
                            <w:r>
                              <w:rPr>
                                <w:rFonts w:hint="eastAsia"/>
                              </w:rPr>
                              <w:t>类别</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59264" behindDoc="1" locked="0" layoutInCell="1" allowOverlap="1">
                      <wp:simplePos x="0" y="0"/>
                      <wp:positionH relativeFrom="column">
                        <wp:posOffset>418465</wp:posOffset>
                      </wp:positionH>
                      <wp:positionV relativeFrom="paragraph">
                        <wp:posOffset>-6350</wp:posOffset>
                      </wp:positionV>
                      <wp:extent cx="502920" cy="495300"/>
                      <wp:effectExtent l="0" t="0" r="11430" b="0"/>
                      <wp:wrapNone/>
                      <wp:docPr id="1" name="Text Box 3"/>
                      <wp:cNvGraphicFramePr/>
                      <a:graphic xmlns:a="http://schemas.openxmlformats.org/drawingml/2006/main">
                        <a:graphicData uri="http://schemas.microsoft.com/office/word/2010/wordprocessingShape">
                          <wps:wsp>
                            <wps:cNvSpPr txBox="1"/>
                            <wps:spPr>
                              <a:xfrm>
                                <a:off x="0" y="0"/>
                                <a:ext cx="502920" cy="495300"/>
                              </a:xfrm>
                              <a:prstGeom prst="rect">
                                <a:avLst/>
                              </a:prstGeom>
                              <a:solidFill>
                                <a:srgbClr val="FFFFFF"/>
                              </a:solidFill>
                              <a:ln w="9525">
                                <a:noFill/>
                              </a:ln>
                            </wps:spPr>
                            <wps:txbx>
                              <w:txbxContent>
                                <w:p>
                                  <w:pPr>
                                    <w:jc w:val="center"/>
                                  </w:pPr>
                                  <w:r>
                                    <w:rPr>
                                      <w:rFonts w:hint="eastAsia"/>
                                    </w:rPr>
                                    <w:t>著作类别</w:t>
                                  </w:r>
                                </w:p>
                              </w:txbxContent>
                            </wps:txbx>
                            <wps:bodyPr upright="1"/>
                          </wps:wsp>
                        </a:graphicData>
                      </a:graphic>
                    </wp:anchor>
                  </w:drawing>
                </mc:Choice>
                <mc:Fallback>
                  <w:pict>
                    <v:shape id="Text Box 3" o:spid="_x0000_s1026" o:spt="202" type="#_x0000_t202" style="position:absolute;left:0pt;margin-left:32.95pt;margin-top:-0.5pt;height:39pt;width:39.6pt;z-index:-251657216;mso-width-relative:page;mso-height-relative:page;" fillcolor="#FFFFFF" filled="t" stroked="f" coordsize="21600,21600" o:gfxdata="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yjq7NYAAAAIAQAADwAAAAAAAAABACAAAAAiAAAAZHJzL2Rvd25yZXYueG1sUEsBAhQAFAAA&#10;AAgAh07iQBEG+LK4AQAAfgMAAA4AAAAAAAAAAQAgAAAAJQEAAGRycy9lMm9Eb2MueG1sUEsFBgAA&#10;AAAGAAYAWQEAAE8FAAAAAA==&#10;">
                      <v:fill on="t" focussize="0,0"/>
                      <v:stroke on="f"/>
                      <v:imagedata o:title=""/>
                      <o:lock v:ext="edit" aspectratio="f"/>
                      <v:textbox>
                        <w:txbxContent>
                          <w:p>
                            <w:pPr>
                              <w:jc w:val="center"/>
                            </w:pPr>
                            <w:r>
                              <w:rPr>
                                <w:rFonts w:hint="eastAsia"/>
                              </w:rPr>
                              <w:t>著作类别</w:t>
                            </w:r>
                          </w:p>
                        </w:txbxContent>
                      </v:textbox>
                    </v:shape>
                  </w:pict>
                </mc:Fallback>
              </mc:AlternateConten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学术专著</w:t>
            </w:r>
          </w:p>
          <w:p>
            <w:pPr>
              <w:jc w:val="center"/>
              <w:rPr>
                <w:rFonts w:ascii="仿宋" w:hAnsi="仿宋" w:eastAsia="仿宋" w:cs="仿宋"/>
                <w:sz w:val="32"/>
                <w:szCs w:val="32"/>
              </w:rPr>
            </w:pPr>
            <w:r>
              <w:rPr>
                <w:rFonts w:hint="eastAsia" w:ascii="仿宋" w:hAnsi="仿宋" w:eastAsia="仿宋" w:cs="仿宋"/>
                <w:sz w:val="32"/>
                <w:szCs w:val="32"/>
              </w:rPr>
              <w:t>（分/万字）</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学术性译著、工具书</w:t>
            </w:r>
          </w:p>
          <w:p>
            <w:pPr>
              <w:jc w:val="center"/>
              <w:rPr>
                <w:rFonts w:ascii="仿宋" w:hAnsi="仿宋" w:eastAsia="仿宋" w:cs="仿宋"/>
                <w:sz w:val="32"/>
                <w:szCs w:val="32"/>
              </w:rPr>
            </w:pPr>
            <w:r>
              <w:rPr>
                <w:rFonts w:hint="eastAsia" w:ascii="仿宋" w:hAnsi="仿宋" w:eastAsia="仿宋" w:cs="仿宋"/>
                <w:sz w:val="32"/>
                <w:szCs w:val="32"/>
              </w:rPr>
              <w:t>（分/万字）</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编著</w:t>
            </w:r>
          </w:p>
          <w:p>
            <w:pPr>
              <w:jc w:val="center"/>
              <w:rPr>
                <w:rFonts w:ascii="仿宋" w:hAnsi="仿宋" w:eastAsia="仿宋" w:cs="仿宋"/>
                <w:sz w:val="32"/>
                <w:szCs w:val="32"/>
              </w:rPr>
            </w:pPr>
            <w:r>
              <w:rPr>
                <w:rFonts w:hint="eastAsia" w:ascii="仿宋" w:hAnsi="仿宋" w:eastAsia="仿宋" w:cs="仿宋"/>
                <w:sz w:val="32"/>
                <w:szCs w:val="32"/>
              </w:rPr>
              <w:t>（分/万字）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jc w:val="center"/>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一类</w:t>
            </w:r>
          </w:p>
          <w:p>
            <w:pPr>
              <w:jc w:val="center"/>
              <w:rPr>
                <w:rFonts w:ascii="仿宋" w:hAnsi="仿宋" w:eastAsia="仿宋" w:cs="仿宋"/>
                <w:sz w:val="32"/>
                <w:szCs w:val="32"/>
              </w:rPr>
            </w:pPr>
            <w:r>
              <w:rPr>
                <w:rFonts w:hint="eastAsia" w:ascii="仿宋" w:hAnsi="仿宋" w:eastAsia="仿宋" w:cs="仿宋"/>
                <w:sz w:val="32"/>
                <w:szCs w:val="32"/>
              </w:rPr>
              <w:t>出版社</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二类</w:t>
            </w:r>
          </w:p>
          <w:p>
            <w:pPr>
              <w:jc w:val="center"/>
              <w:rPr>
                <w:rFonts w:ascii="仿宋" w:hAnsi="仿宋" w:eastAsia="仿宋" w:cs="仿宋"/>
                <w:sz w:val="32"/>
                <w:szCs w:val="32"/>
              </w:rPr>
            </w:pPr>
            <w:r>
              <w:rPr>
                <w:rFonts w:hint="eastAsia" w:ascii="仿宋" w:hAnsi="仿宋" w:eastAsia="仿宋" w:cs="仿宋"/>
                <w:sz w:val="32"/>
                <w:szCs w:val="32"/>
              </w:rPr>
              <w:t>出版社</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三类</w:t>
            </w:r>
          </w:p>
          <w:p>
            <w:pPr>
              <w:jc w:val="center"/>
              <w:rPr>
                <w:rFonts w:ascii="仿宋" w:hAnsi="仿宋" w:eastAsia="仿宋" w:cs="仿宋"/>
                <w:sz w:val="32"/>
                <w:szCs w:val="32"/>
              </w:rPr>
            </w:pPr>
            <w:r>
              <w:rPr>
                <w:rFonts w:hint="eastAsia" w:ascii="仿宋" w:hAnsi="仿宋" w:eastAsia="仿宋" w:cs="仿宋"/>
                <w:sz w:val="32"/>
                <w:szCs w:val="32"/>
              </w:rPr>
              <w:t>出版社</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0.5</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2）一类出版社指科学出版社、人民出版社、商务印书馆、中华书局、中国社会科学出版社、三联书店和国外著名出版社；二类出版社指国家各部、委、局主管的各类国家级专业出版社和清华大学、北京大学、复旦大学、南京大学、中国科技大学、上海交通大学、西安交通大学、浙江大学、哈尔滨工业大学、中国人民大学、同济大学出版社、上海古籍出版社、中国科学技术出版社、人民卫生出版社、高等教育出版社及各省、市、自治区的人民出版社；三类出版社是指上述一、二类出版社以外的其他出版社。港、澳、台地区及国外出版社的级别由学院评审委员会审定。</w:t>
      </w:r>
    </w:p>
    <w:p>
      <w:pPr>
        <w:ind w:firstLine="640" w:firstLineChars="200"/>
        <w:rPr>
          <w:rFonts w:ascii="仿宋" w:hAnsi="仿宋" w:eastAsia="仿宋" w:cs="仿宋"/>
          <w:sz w:val="32"/>
          <w:szCs w:val="32"/>
        </w:rPr>
      </w:pPr>
      <w:r>
        <w:rPr>
          <w:rFonts w:hint="eastAsia" w:ascii="仿宋" w:hAnsi="仿宋" w:eastAsia="仿宋" w:cs="仿宋"/>
          <w:sz w:val="32"/>
          <w:szCs w:val="32"/>
        </w:rPr>
        <w:t>以上科研成果必须提交相应的证明材料：</w:t>
      </w:r>
    </w:p>
    <w:p>
      <w:pPr>
        <w:ind w:firstLine="640" w:firstLineChars="200"/>
        <w:rPr>
          <w:rFonts w:ascii="仿宋" w:hAnsi="仿宋" w:eastAsia="仿宋" w:cs="仿宋"/>
          <w:sz w:val="32"/>
          <w:szCs w:val="32"/>
        </w:rPr>
      </w:pPr>
      <w:r>
        <w:rPr>
          <w:rFonts w:hint="eastAsia" w:ascii="仿宋" w:hAnsi="仿宋" w:eastAsia="仿宋" w:cs="仿宋"/>
          <w:sz w:val="32"/>
          <w:szCs w:val="32"/>
        </w:rPr>
        <w:t>（1）发表论文需提交期刊原件及复印件（封面、目录、论文原文）；</w:t>
      </w:r>
    </w:p>
    <w:p>
      <w:pPr>
        <w:ind w:firstLine="640" w:firstLineChars="200"/>
        <w:rPr>
          <w:rFonts w:ascii="仿宋" w:hAnsi="仿宋" w:eastAsia="仿宋" w:cs="仿宋"/>
          <w:sz w:val="32"/>
          <w:szCs w:val="32"/>
        </w:rPr>
      </w:pPr>
      <w:r>
        <w:rPr>
          <w:rFonts w:hint="eastAsia" w:ascii="仿宋" w:hAnsi="仿宋" w:eastAsia="仿宋" w:cs="仿宋"/>
          <w:sz w:val="32"/>
          <w:szCs w:val="32"/>
        </w:rPr>
        <w:t>（2）参与课题需提交课题立项通知书、课题结项证书，横向课题提交合同原件及复印件；如有变更，需提交按正常手续并得到上级主管部门审批的原件和复印件。</w:t>
      </w:r>
    </w:p>
    <w:p>
      <w:pPr>
        <w:ind w:firstLine="640" w:firstLineChars="200"/>
        <w:rPr>
          <w:rFonts w:ascii="仿宋" w:hAnsi="仿宋" w:eastAsia="仿宋" w:cs="仿宋"/>
          <w:sz w:val="32"/>
          <w:szCs w:val="32"/>
        </w:rPr>
      </w:pPr>
      <w:r>
        <w:rPr>
          <w:rFonts w:hint="eastAsia" w:ascii="仿宋" w:hAnsi="仿宋" w:eastAsia="仿宋" w:cs="仿宋"/>
          <w:sz w:val="32"/>
          <w:szCs w:val="32"/>
        </w:rPr>
        <w:t>（3）参与编写学术著作需提供原件及复印件（封面、版权页、所编写的章节需有明确标注，如在著作前言或后记中注明所编写章节及数字等），否则不予认定。</w:t>
      </w:r>
    </w:p>
    <w:p>
      <w:pPr>
        <w:ind w:firstLine="640" w:firstLineChars="200"/>
        <w:rPr>
          <w:rFonts w:ascii="仿宋" w:hAnsi="仿宋" w:eastAsia="仿宋" w:cs="仿宋"/>
          <w:sz w:val="32"/>
          <w:szCs w:val="32"/>
        </w:rPr>
      </w:pPr>
      <w:r>
        <w:rPr>
          <w:rFonts w:hint="eastAsia" w:ascii="仿宋" w:hAnsi="仿宋" w:eastAsia="仿宋" w:cs="仿宋"/>
          <w:sz w:val="32"/>
          <w:szCs w:val="32"/>
        </w:rPr>
        <w:t>4.奖励</w:t>
      </w:r>
    </w:p>
    <w:p>
      <w:pPr>
        <w:ind w:firstLine="640" w:firstLineChars="200"/>
        <w:rPr>
          <w:rFonts w:ascii="仿宋" w:hAnsi="仿宋" w:eastAsia="仿宋" w:cs="仿宋"/>
          <w:sz w:val="32"/>
          <w:szCs w:val="32"/>
        </w:rPr>
      </w:pPr>
      <w:r>
        <w:rPr>
          <w:rFonts w:hint="eastAsia" w:ascii="仿宋" w:hAnsi="仿宋" w:eastAsia="仿宋" w:cs="仿宋"/>
          <w:sz w:val="32"/>
          <w:szCs w:val="32"/>
        </w:rPr>
        <w:t>（1） 科研成果奖的计分标准（单位：分 / 项）</w:t>
      </w:r>
    </w:p>
    <w:p>
      <w:pPr>
        <w:ind w:firstLine="640" w:firstLineChars="200"/>
        <w:rPr>
          <w:rFonts w:ascii="仿宋" w:hAnsi="仿宋" w:eastAsia="仿宋" w:cs="仿宋"/>
          <w:sz w:val="32"/>
          <w:szCs w:val="32"/>
        </w:rPr>
      </w:pPr>
    </w:p>
    <w:tbl>
      <w:tblPr>
        <w:tblStyle w:val="7"/>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560"/>
        <w:gridCol w:w="1335"/>
        <w:gridCol w:w="144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vAlign w:val="center"/>
          </w:tcPr>
          <w:p>
            <w:pPr>
              <w:jc w:val="center"/>
              <w:rPr>
                <w:rFonts w:ascii="仿宋" w:hAnsi="仿宋" w:eastAsia="仿宋" w:cs="仿宋"/>
                <w:sz w:val="32"/>
                <w:szCs w:val="32"/>
              </w:rPr>
            </w:pPr>
            <w:r>
              <w:rPr>
                <w:rFonts w:hint="eastAsia" w:ascii="仿宋" w:hAnsi="仿宋" w:eastAsia="仿宋" w:cs="仿宋"/>
                <w:sz w:val="32"/>
                <w:szCs w:val="32"/>
              </w:rPr>
              <w:t>获奖级别</w:t>
            </w:r>
          </w:p>
        </w:tc>
        <w:tc>
          <w:tcPr>
            <w:tcW w:w="1560" w:type="dxa"/>
            <w:vAlign w:val="center"/>
          </w:tcPr>
          <w:p>
            <w:pPr>
              <w:jc w:val="center"/>
              <w:rPr>
                <w:rFonts w:ascii="仿宋" w:hAnsi="仿宋" w:eastAsia="仿宋" w:cs="仿宋"/>
                <w:sz w:val="32"/>
                <w:szCs w:val="32"/>
              </w:rPr>
            </w:pPr>
            <w:r>
              <w:rPr>
                <w:rFonts w:hint="eastAsia" w:ascii="仿宋" w:hAnsi="仿宋" w:eastAsia="仿宋" w:cs="仿宋"/>
                <w:sz w:val="32"/>
                <w:szCs w:val="32"/>
              </w:rPr>
              <w:t>一等奖</w:t>
            </w:r>
          </w:p>
        </w:tc>
        <w:tc>
          <w:tcPr>
            <w:tcW w:w="1335" w:type="dxa"/>
            <w:vAlign w:val="center"/>
          </w:tcPr>
          <w:p>
            <w:pPr>
              <w:jc w:val="center"/>
              <w:rPr>
                <w:rFonts w:ascii="仿宋" w:hAnsi="仿宋" w:eastAsia="仿宋" w:cs="仿宋"/>
                <w:sz w:val="32"/>
                <w:szCs w:val="32"/>
              </w:rPr>
            </w:pPr>
            <w:r>
              <w:rPr>
                <w:rFonts w:hint="eastAsia" w:ascii="仿宋" w:hAnsi="仿宋" w:eastAsia="仿宋" w:cs="仿宋"/>
                <w:sz w:val="32"/>
                <w:szCs w:val="32"/>
              </w:rPr>
              <w:t>二等奖</w:t>
            </w:r>
          </w:p>
        </w:tc>
        <w:tc>
          <w:tcPr>
            <w:tcW w:w="1440" w:type="dxa"/>
            <w:vAlign w:val="center"/>
          </w:tcPr>
          <w:p>
            <w:pPr>
              <w:jc w:val="center"/>
              <w:rPr>
                <w:rFonts w:ascii="仿宋" w:hAnsi="仿宋" w:eastAsia="仿宋" w:cs="仿宋"/>
                <w:sz w:val="32"/>
                <w:szCs w:val="32"/>
              </w:rPr>
            </w:pPr>
            <w:r>
              <w:rPr>
                <w:rFonts w:hint="eastAsia" w:ascii="仿宋" w:hAnsi="仿宋" w:eastAsia="仿宋" w:cs="仿宋"/>
                <w:sz w:val="32"/>
                <w:szCs w:val="32"/>
              </w:rPr>
              <w:t>三等奖</w:t>
            </w:r>
          </w:p>
        </w:tc>
        <w:tc>
          <w:tcPr>
            <w:tcW w:w="1912" w:type="dxa"/>
            <w:vAlign w:val="center"/>
          </w:tcPr>
          <w:p>
            <w:pPr>
              <w:jc w:val="center"/>
              <w:rPr>
                <w:rFonts w:ascii="仿宋" w:hAnsi="仿宋" w:eastAsia="仿宋" w:cs="仿宋"/>
                <w:sz w:val="32"/>
                <w:szCs w:val="32"/>
              </w:rPr>
            </w:pPr>
            <w:r>
              <w:rPr>
                <w:rFonts w:hint="eastAsia" w:ascii="仿宋" w:hAnsi="仿宋" w:eastAsia="仿宋" w:cs="仿宋"/>
                <w:sz w:val="32"/>
                <w:szCs w:val="32"/>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vAlign w:val="center"/>
          </w:tcPr>
          <w:p>
            <w:pPr>
              <w:jc w:val="center"/>
              <w:rPr>
                <w:rFonts w:ascii="仿宋" w:hAnsi="仿宋" w:eastAsia="仿宋" w:cs="仿宋"/>
                <w:sz w:val="32"/>
                <w:szCs w:val="32"/>
              </w:rPr>
            </w:pPr>
            <w:r>
              <w:rPr>
                <w:rFonts w:hint="eastAsia" w:ascii="仿宋" w:hAnsi="仿宋" w:eastAsia="仿宋" w:cs="仿宋"/>
                <w:sz w:val="32"/>
                <w:szCs w:val="32"/>
              </w:rPr>
              <w:t>国家级</w:t>
            </w:r>
          </w:p>
        </w:tc>
        <w:tc>
          <w:tcPr>
            <w:tcW w:w="1560" w:type="dxa"/>
            <w:vAlign w:val="center"/>
          </w:tcPr>
          <w:p>
            <w:pPr>
              <w:jc w:val="center"/>
              <w:rPr>
                <w:rFonts w:ascii="仿宋" w:hAnsi="仿宋" w:eastAsia="仿宋" w:cs="仿宋"/>
                <w:sz w:val="32"/>
                <w:szCs w:val="32"/>
              </w:rPr>
            </w:pPr>
            <w:r>
              <w:rPr>
                <w:rFonts w:hint="eastAsia" w:ascii="仿宋" w:hAnsi="仿宋" w:eastAsia="仿宋" w:cs="仿宋"/>
                <w:sz w:val="32"/>
                <w:szCs w:val="32"/>
              </w:rPr>
              <w:t>200</w:t>
            </w:r>
          </w:p>
        </w:tc>
        <w:tc>
          <w:tcPr>
            <w:tcW w:w="1335" w:type="dxa"/>
            <w:vAlign w:val="center"/>
          </w:tcPr>
          <w:p>
            <w:pPr>
              <w:jc w:val="center"/>
              <w:rPr>
                <w:rFonts w:ascii="仿宋" w:hAnsi="仿宋" w:eastAsia="仿宋" w:cs="仿宋"/>
                <w:sz w:val="32"/>
                <w:szCs w:val="32"/>
              </w:rPr>
            </w:pPr>
            <w:r>
              <w:rPr>
                <w:rFonts w:hint="eastAsia" w:ascii="仿宋" w:hAnsi="仿宋" w:eastAsia="仿宋" w:cs="仿宋"/>
                <w:sz w:val="32"/>
                <w:szCs w:val="32"/>
              </w:rPr>
              <w:t>150</w:t>
            </w:r>
          </w:p>
        </w:tc>
        <w:tc>
          <w:tcPr>
            <w:tcW w:w="1440" w:type="dxa"/>
            <w:vAlign w:val="center"/>
          </w:tcPr>
          <w:p>
            <w:pPr>
              <w:jc w:val="center"/>
              <w:rPr>
                <w:rFonts w:ascii="仿宋" w:hAnsi="仿宋" w:eastAsia="仿宋" w:cs="仿宋"/>
                <w:sz w:val="32"/>
                <w:szCs w:val="32"/>
              </w:rPr>
            </w:pPr>
            <w:r>
              <w:rPr>
                <w:rFonts w:hint="eastAsia" w:ascii="仿宋" w:hAnsi="仿宋" w:eastAsia="仿宋" w:cs="仿宋"/>
                <w:sz w:val="32"/>
                <w:szCs w:val="32"/>
              </w:rPr>
              <w:t>100</w:t>
            </w:r>
          </w:p>
        </w:tc>
        <w:tc>
          <w:tcPr>
            <w:tcW w:w="1912" w:type="dxa"/>
            <w:vAlign w:val="center"/>
          </w:tcPr>
          <w:p>
            <w:pPr>
              <w:jc w:val="center"/>
              <w:rPr>
                <w:rFonts w:ascii="仿宋" w:hAnsi="仿宋" w:eastAsia="仿宋" w:cs="仿宋"/>
                <w:sz w:val="32"/>
                <w:szCs w:val="32"/>
              </w:rPr>
            </w:pPr>
            <w:r>
              <w:rPr>
                <w:rFonts w:hint="eastAsia" w:ascii="仿宋" w:hAnsi="仿宋" w:eastAsia="仿宋" w:cs="仿宋"/>
                <w:sz w:val="32"/>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vAlign w:val="center"/>
          </w:tcPr>
          <w:p>
            <w:pPr>
              <w:jc w:val="center"/>
              <w:rPr>
                <w:rFonts w:ascii="仿宋" w:hAnsi="仿宋" w:eastAsia="仿宋" w:cs="仿宋"/>
                <w:sz w:val="32"/>
                <w:szCs w:val="32"/>
              </w:rPr>
            </w:pPr>
            <w:r>
              <w:rPr>
                <w:rFonts w:hint="eastAsia" w:ascii="仿宋" w:hAnsi="仿宋" w:eastAsia="仿宋" w:cs="仿宋"/>
                <w:sz w:val="32"/>
                <w:szCs w:val="32"/>
              </w:rPr>
              <w:t>省、部级</w:t>
            </w:r>
          </w:p>
        </w:tc>
        <w:tc>
          <w:tcPr>
            <w:tcW w:w="1560" w:type="dxa"/>
            <w:vAlign w:val="center"/>
          </w:tcPr>
          <w:p>
            <w:pPr>
              <w:jc w:val="center"/>
              <w:rPr>
                <w:rFonts w:ascii="仿宋" w:hAnsi="仿宋" w:eastAsia="仿宋" w:cs="仿宋"/>
                <w:sz w:val="32"/>
                <w:szCs w:val="32"/>
              </w:rPr>
            </w:pPr>
            <w:r>
              <w:rPr>
                <w:rFonts w:hint="eastAsia" w:ascii="仿宋" w:hAnsi="仿宋" w:eastAsia="仿宋" w:cs="仿宋"/>
                <w:sz w:val="32"/>
                <w:szCs w:val="32"/>
              </w:rPr>
              <w:t>100</w:t>
            </w:r>
          </w:p>
        </w:tc>
        <w:tc>
          <w:tcPr>
            <w:tcW w:w="1335" w:type="dxa"/>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440" w:type="dxa"/>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912"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vAlign w:val="center"/>
          </w:tcPr>
          <w:p>
            <w:pPr>
              <w:jc w:val="center"/>
              <w:rPr>
                <w:rFonts w:ascii="仿宋" w:hAnsi="仿宋" w:eastAsia="仿宋" w:cs="仿宋"/>
                <w:sz w:val="32"/>
                <w:szCs w:val="32"/>
              </w:rPr>
            </w:pPr>
            <w:r>
              <w:rPr>
                <w:rFonts w:hint="eastAsia" w:ascii="仿宋" w:hAnsi="仿宋" w:eastAsia="仿宋" w:cs="仿宋"/>
                <w:sz w:val="32"/>
                <w:szCs w:val="32"/>
              </w:rPr>
              <w:t>市、厅级</w:t>
            </w:r>
          </w:p>
        </w:tc>
        <w:tc>
          <w:tcPr>
            <w:tcW w:w="1560" w:type="dxa"/>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335"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c>
          <w:tcPr>
            <w:tcW w:w="1440" w:type="dxa"/>
            <w:vAlign w:val="center"/>
          </w:tcPr>
          <w:p>
            <w:pPr>
              <w:jc w:val="center"/>
              <w:rPr>
                <w:rFonts w:ascii="仿宋" w:hAnsi="仿宋" w:eastAsia="仿宋" w:cs="仿宋"/>
                <w:sz w:val="32"/>
                <w:szCs w:val="32"/>
              </w:rPr>
            </w:pPr>
            <w:r>
              <w:rPr>
                <w:rFonts w:hint="eastAsia" w:ascii="仿宋" w:hAnsi="仿宋" w:eastAsia="仿宋" w:cs="仿宋"/>
                <w:sz w:val="32"/>
                <w:szCs w:val="32"/>
              </w:rPr>
              <w:t>10</w:t>
            </w:r>
          </w:p>
        </w:tc>
        <w:tc>
          <w:tcPr>
            <w:tcW w:w="1912" w:type="dxa"/>
            <w:vAlign w:val="center"/>
          </w:tcPr>
          <w:p>
            <w:pPr>
              <w:jc w:val="center"/>
              <w:rPr>
                <w:rFonts w:ascii="仿宋" w:hAnsi="仿宋" w:eastAsia="仿宋" w:cs="仿宋"/>
                <w:sz w:val="32"/>
                <w:szCs w:val="32"/>
              </w:rPr>
            </w:pPr>
            <w:r>
              <w:rPr>
                <w:rFonts w:hint="eastAsia" w:ascii="仿宋" w:hAnsi="仿宋" w:eastAsia="仿宋" w:cs="仿宋"/>
                <w:sz w:val="32"/>
                <w:szCs w:val="32"/>
              </w:rPr>
              <w:t>6</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注明：获奖分值采用“连续六四分方式”计分。</w:t>
      </w:r>
    </w:p>
    <w:p>
      <w:pPr>
        <w:ind w:firstLine="640" w:firstLineChars="200"/>
        <w:rPr>
          <w:rFonts w:ascii="仿宋" w:hAnsi="仿宋" w:eastAsia="仿宋" w:cs="仿宋"/>
          <w:sz w:val="32"/>
          <w:szCs w:val="32"/>
        </w:rPr>
      </w:pPr>
      <w:r>
        <w:rPr>
          <w:rFonts w:hint="eastAsia" w:ascii="仿宋" w:hAnsi="仿宋" w:eastAsia="仿宋" w:cs="仿宋"/>
          <w:sz w:val="32"/>
          <w:szCs w:val="32"/>
        </w:rPr>
        <w:t>（2）科技竞赛获奖的计分标准（单位：分 / 项）</w:t>
      </w:r>
    </w:p>
    <w:tbl>
      <w:tblPr>
        <w:tblStyle w:val="7"/>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316"/>
        <w:gridCol w:w="1288"/>
        <w:gridCol w:w="1330"/>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24" w:type="dxa"/>
            <w:vAlign w:val="center"/>
          </w:tcPr>
          <w:p>
            <w:pPr>
              <w:jc w:val="center"/>
              <w:rPr>
                <w:rFonts w:ascii="仿宋" w:hAnsi="仿宋" w:eastAsia="仿宋" w:cs="仿宋"/>
                <w:sz w:val="32"/>
                <w:szCs w:val="32"/>
              </w:rPr>
            </w:pPr>
            <w:r>
              <w:rPr>
                <w:rFonts w:hint="eastAsia" w:ascii="仿宋" w:hAnsi="仿宋" w:eastAsia="仿宋" w:cs="仿宋"/>
                <w:sz w:val="32"/>
                <w:szCs w:val="32"/>
              </w:rPr>
              <w:t>获奖级别</w:t>
            </w:r>
          </w:p>
        </w:tc>
        <w:tc>
          <w:tcPr>
            <w:tcW w:w="1316" w:type="dxa"/>
            <w:vAlign w:val="center"/>
          </w:tcPr>
          <w:p>
            <w:pPr>
              <w:jc w:val="center"/>
              <w:rPr>
                <w:rFonts w:ascii="仿宋" w:hAnsi="仿宋" w:eastAsia="仿宋" w:cs="仿宋"/>
                <w:sz w:val="32"/>
                <w:szCs w:val="32"/>
              </w:rPr>
            </w:pPr>
            <w:r>
              <w:rPr>
                <w:rFonts w:hint="eastAsia" w:ascii="仿宋" w:hAnsi="仿宋" w:eastAsia="仿宋" w:cs="仿宋"/>
                <w:sz w:val="32"/>
                <w:szCs w:val="32"/>
              </w:rPr>
              <w:t>特等奖</w:t>
            </w:r>
          </w:p>
        </w:tc>
        <w:tc>
          <w:tcPr>
            <w:tcW w:w="1288" w:type="dxa"/>
            <w:vAlign w:val="center"/>
          </w:tcPr>
          <w:p>
            <w:pPr>
              <w:jc w:val="center"/>
              <w:rPr>
                <w:rFonts w:ascii="仿宋" w:hAnsi="仿宋" w:eastAsia="仿宋" w:cs="仿宋"/>
                <w:sz w:val="32"/>
                <w:szCs w:val="32"/>
              </w:rPr>
            </w:pPr>
            <w:r>
              <w:rPr>
                <w:rFonts w:hint="eastAsia" w:ascii="仿宋" w:hAnsi="仿宋" w:eastAsia="仿宋" w:cs="仿宋"/>
                <w:sz w:val="32"/>
                <w:szCs w:val="32"/>
              </w:rPr>
              <w:t>一等奖</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二等奖</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三等奖</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24" w:type="dxa"/>
            <w:vAlign w:val="center"/>
          </w:tcPr>
          <w:p>
            <w:pPr>
              <w:jc w:val="center"/>
              <w:rPr>
                <w:rFonts w:ascii="仿宋" w:hAnsi="仿宋" w:eastAsia="仿宋" w:cs="仿宋"/>
                <w:sz w:val="32"/>
                <w:szCs w:val="32"/>
              </w:rPr>
            </w:pPr>
            <w:r>
              <w:rPr>
                <w:rFonts w:hint="eastAsia" w:ascii="仿宋" w:hAnsi="仿宋" w:eastAsia="仿宋" w:cs="仿宋"/>
                <w:sz w:val="32"/>
                <w:szCs w:val="32"/>
              </w:rPr>
              <w:t>国家级</w:t>
            </w:r>
          </w:p>
        </w:tc>
        <w:tc>
          <w:tcPr>
            <w:tcW w:w="1316" w:type="dxa"/>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288" w:type="dxa"/>
            <w:vAlign w:val="center"/>
          </w:tcPr>
          <w:p>
            <w:pPr>
              <w:jc w:val="center"/>
              <w:rPr>
                <w:rFonts w:ascii="仿宋" w:hAnsi="仿宋" w:eastAsia="仿宋" w:cs="仿宋"/>
                <w:sz w:val="32"/>
                <w:szCs w:val="32"/>
              </w:rPr>
            </w:pPr>
            <w:r>
              <w:rPr>
                <w:rFonts w:hint="eastAsia" w:ascii="仿宋" w:hAnsi="仿宋" w:eastAsia="仿宋" w:cs="仿宋"/>
                <w:sz w:val="32"/>
                <w:szCs w:val="32"/>
              </w:rPr>
              <w:t>25</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24" w:type="dxa"/>
            <w:vAlign w:val="center"/>
          </w:tcPr>
          <w:p>
            <w:pPr>
              <w:jc w:val="center"/>
              <w:rPr>
                <w:rFonts w:ascii="仿宋" w:hAnsi="仿宋" w:eastAsia="仿宋" w:cs="仿宋"/>
                <w:sz w:val="32"/>
                <w:szCs w:val="32"/>
              </w:rPr>
            </w:pPr>
            <w:r>
              <w:rPr>
                <w:rFonts w:hint="eastAsia" w:ascii="仿宋" w:hAnsi="仿宋" w:eastAsia="仿宋" w:cs="仿宋"/>
                <w:sz w:val="32"/>
                <w:szCs w:val="32"/>
              </w:rPr>
              <w:t>省、部级</w:t>
            </w:r>
          </w:p>
        </w:tc>
        <w:tc>
          <w:tcPr>
            <w:tcW w:w="1316" w:type="dxa"/>
            <w:vAlign w:val="center"/>
          </w:tcPr>
          <w:p>
            <w:pPr>
              <w:jc w:val="center"/>
              <w:rPr>
                <w:rFonts w:ascii="仿宋" w:hAnsi="仿宋" w:eastAsia="仿宋" w:cs="仿宋"/>
                <w:sz w:val="32"/>
                <w:szCs w:val="32"/>
              </w:rPr>
            </w:pPr>
            <w:r>
              <w:rPr>
                <w:rFonts w:hint="eastAsia" w:ascii="仿宋" w:hAnsi="仿宋" w:eastAsia="仿宋" w:cs="仿宋"/>
                <w:sz w:val="32"/>
                <w:szCs w:val="32"/>
              </w:rPr>
              <w:t>25</w:t>
            </w:r>
          </w:p>
        </w:tc>
        <w:tc>
          <w:tcPr>
            <w:tcW w:w="1288"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10</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24" w:type="dxa"/>
            <w:vAlign w:val="center"/>
          </w:tcPr>
          <w:p>
            <w:pPr>
              <w:jc w:val="center"/>
              <w:rPr>
                <w:rFonts w:ascii="仿宋" w:hAnsi="仿宋" w:eastAsia="仿宋" w:cs="仿宋"/>
                <w:sz w:val="32"/>
                <w:szCs w:val="32"/>
              </w:rPr>
            </w:pPr>
            <w:r>
              <w:rPr>
                <w:rFonts w:hint="eastAsia" w:ascii="仿宋" w:hAnsi="仿宋" w:eastAsia="仿宋" w:cs="仿宋"/>
                <w:sz w:val="32"/>
                <w:szCs w:val="32"/>
              </w:rPr>
              <w:t>市、厅级</w:t>
            </w:r>
          </w:p>
        </w:tc>
        <w:tc>
          <w:tcPr>
            <w:tcW w:w="1316" w:type="dxa"/>
            <w:vAlign w:val="center"/>
          </w:tcPr>
          <w:p>
            <w:pPr>
              <w:jc w:val="center"/>
              <w:rPr>
                <w:rFonts w:ascii="仿宋" w:hAnsi="仿宋" w:eastAsia="仿宋" w:cs="仿宋"/>
                <w:sz w:val="32"/>
                <w:szCs w:val="32"/>
              </w:rPr>
            </w:pPr>
            <w:r>
              <w:rPr>
                <w:rFonts w:hint="eastAsia" w:ascii="仿宋" w:hAnsi="仿宋" w:eastAsia="仿宋" w:cs="仿宋"/>
                <w:sz w:val="32"/>
                <w:szCs w:val="32"/>
              </w:rPr>
              <w:t>20</w:t>
            </w:r>
          </w:p>
        </w:tc>
        <w:tc>
          <w:tcPr>
            <w:tcW w:w="1288" w:type="dxa"/>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10</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5</w:t>
            </w:r>
          </w:p>
        </w:tc>
        <w:tc>
          <w:tcPr>
            <w:tcW w:w="1330" w:type="dxa"/>
            <w:vAlign w:val="center"/>
          </w:tcPr>
          <w:p>
            <w:pPr>
              <w:jc w:val="center"/>
              <w:rPr>
                <w:rFonts w:ascii="仿宋" w:hAnsi="仿宋" w:eastAsia="仿宋" w:cs="仿宋"/>
                <w:sz w:val="32"/>
                <w:szCs w:val="32"/>
              </w:rPr>
            </w:pPr>
            <w:r>
              <w:rPr>
                <w:rFonts w:hint="eastAsia" w:ascii="仿宋" w:hAnsi="仿宋" w:eastAsia="仿宋" w:cs="仿宋"/>
                <w:sz w:val="32"/>
                <w:szCs w:val="32"/>
              </w:rPr>
              <w:t>3</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注明：获奖分值采用“连续六四分方式”计分。</w:t>
      </w:r>
    </w:p>
    <w:p>
      <w:pPr>
        <w:ind w:firstLine="640" w:firstLineChars="200"/>
        <w:rPr>
          <w:rFonts w:ascii="仿宋" w:hAnsi="仿宋" w:eastAsia="仿宋" w:cs="仿宋"/>
          <w:sz w:val="32"/>
          <w:szCs w:val="32"/>
        </w:rPr>
      </w:pPr>
      <w:r>
        <w:rPr>
          <w:rFonts w:hint="eastAsia" w:ascii="仿宋" w:hAnsi="仿宋" w:eastAsia="仿宋" w:cs="仿宋"/>
          <w:sz w:val="32"/>
          <w:szCs w:val="32"/>
        </w:rPr>
        <w:t>（3）获得校级优秀党员、优秀团员、优秀研究生、优秀研究生干部、中期考核被评为优秀研究生每项加0.5分，但只计一项，不累计加分。</w:t>
      </w:r>
    </w:p>
    <w:p>
      <w:pPr>
        <w:ind w:firstLine="640" w:firstLineChars="200"/>
        <w:rPr>
          <w:rFonts w:ascii="仿宋" w:hAnsi="仿宋" w:eastAsia="仿宋" w:cs="仿宋"/>
          <w:sz w:val="32"/>
          <w:szCs w:val="32"/>
        </w:rPr>
      </w:pPr>
      <w:r>
        <w:rPr>
          <w:rFonts w:hint="eastAsia" w:ascii="仿宋" w:hAnsi="仿宋" w:eastAsia="仿宋" w:cs="仿宋"/>
          <w:sz w:val="32"/>
          <w:szCs w:val="32"/>
        </w:rPr>
        <w:t>四、评审组织与流程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管理学院研究生成立由管理学院负责研究生工作的党政领导任主任、副主任，研究生导师代表、行政管理人员、研究生代表任委员组成的学业奖学金评审委员会，研究制定研究生学业奖学金评审实施细则，负责本单位研究生学业奖学金的申请组织、初评工作。</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年研究生学业奖学金评审委员会成员名单如下：</w:t>
      </w:r>
    </w:p>
    <w:p>
      <w:pPr>
        <w:ind w:firstLine="640" w:firstLineChars="200"/>
        <w:rPr>
          <w:rFonts w:ascii="仿宋" w:hAnsi="仿宋" w:eastAsia="仿宋" w:cs="仿宋"/>
          <w:sz w:val="32"/>
          <w:szCs w:val="32"/>
        </w:rPr>
      </w:pPr>
      <w:r>
        <w:rPr>
          <w:rFonts w:hint="eastAsia" w:ascii="仿宋" w:hAnsi="仿宋" w:eastAsia="仿宋" w:cs="仿宋"/>
          <w:sz w:val="32"/>
          <w:szCs w:val="32"/>
        </w:rPr>
        <w:t>主任：李江涛</w:t>
      </w:r>
    </w:p>
    <w:p>
      <w:pPr>
        <w:ind w:firstLine="640" w:firstLineChars="200"/>
        <w:rPr>
          <w:rFonts w:ascii="仿宋" w:hAnsi="仿宋" w:eastAsia="仿宋" w:cs="仿宋"/>
          <w:sz w:val="32"/>
          <w:szCs w:val="32"/>
        </w:rPr>
      </w:pPr>
      <w:r>
        <w:rPr>
          <w:rFonts w:hint="eastAsia" w:ascii="仿宋" w:hAnsi="仿宋" w:eastAsia="仿宋" w:cs="仿宋"/>
          <w:sz w:val="32"/>
          <w:szCs w:val="32"/>
        </w:rPr>
        <w:t>副主任：侯保疆</w:t>
      </w:r>
    </w:p>
    <w:p>
      <w:pPr>
        <w:ind w:firstLine="640" w:firstLineChars="200"/>
        <w:rPr>
          <w:rFonts w:ascii="仿宋" w:hAnsi="仿宋" w:eastAsia="仿宋" w:cs="仿宋"/>
          <w:sz w:val="32"/>
          <w:szCs w:val="32"/>
        </w:rPr>
      </w:pPr>
      <w:r>
        <w:rPr>
          <w:rFonts w:hint="eastAsia" w:ascii="仿宋" w:hAnsi="仿宋" w:eastAsia="仿宋" w:cs="仿宋"/>
          <w:sz w:val="32"/>
          <w:szCs w:val="32"/>
        </w:rPr>
        <w:t>研究生导师代表：单纬东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行政管理人员：</w:t>
      </w:r>
      <w:r>
        <w:rPr>
          <w:rFonts w:hint="eastAsia" w:ascii="仿宋" w:hAnsi="仿宋" w:eastAsia="仿宋" w:cs="仿宋"/>
          <w:sz w:val="32"/>
          <w:szCs w:val="32"/>
          <w:lang w:eastAsia="zh-CN"/>
        </w:rPr>
        <w:t>罗鲜荣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研究生代表：</w:t>
      </w:r>
      <w:r>
        <w:rPr>
          <w:rFonts w:hint="eastAsia" w:ascii="仿宋" w:hAnsi="仿宋" w:eastAsia="仿宋" w:cs="仿宋"/>
          <w:sz w:val="32"/>
          <w:szCs w:val="32"/>
          <w:lang w:eastAsia="zh-CN"/>
        </w:rPr>
        <w:t>冉燕</w:t>
      </w:r>
      <w:r>
        <w:rPr>
          <w:rFonts w:hint="eastAsia" w:ascii="仿宋" w:hAnsi="仿宋" w:eastAsia="仿宋" w:cs="仿宋"/>
          <w:sz w:val="32"/>
          <w:szCs w:val="32"/>
        </w:rPr>
        <w:t xml:space="preserve"> </w:t>
      </w:r>
      <w:r>
        <w:rPr>
          <w:rFonts w:hint="eastAsia" w:ascii="仿宋" w:hAnsi="仿宋" w:eastAsia="仿宋" w:cs="仿宋"/>
          <w:sz w:val="32"/>
          <w:szCs w:val="32"/>
          <w:lang w:eastAsia="zh-CN"/>
        </w:rPr>
        <w:t>缪子贤</w:t>
      </w:r>
    </w:p>
    <w:p>
      <w:pPr>
        <w:ind w:firstLine="640" w:firstLineChars="200"/>
        <w:rPr>
          <w:rFonts w:ascii="仿宋" w:hAnsi="仿宋" w:eastAsia="仿宋" w:cs="仿宋"/>
          <w:sz w:val="32"/>
          <w:szCs w:val="32"/>
        </w:rPr>
      </w:pPr>
      <w:r>
        <w:rPr>
          <w:rFonts w:hint="eastAsia" w:ascii="仿宋" w:hAnsi="仿宋" w:eastAsia="仿宋" w:cs="仿宋"/>
          <w:sz w:val="32"/>
          <w:szCs w:val="32"/>
        </w:rPr>
        <w:t>具体流程为：</w:t>
      </w:r>
    </w:p>
    <w:p>
      <w:pPr>
        <w:ind w:firstLine="640" w:firstLineChars="200"/>
        <w:rPr>
          <w:rFonts w:ascii="仿宋" w:hAnsi="仿宋" w:eastAsia="仿宋" w:cs="仿宋"/>
          <w:sz w:val="32"/>
          <w:szCs w:val="32"/>
        </w:rPr>
      </w:pPr>
      <w:r>
        <w:rPr>
          <w:rFonts w:hint="eastAsia" w:ascii="仿宋" w:hAnsi="仿宋" w:eastAsia="仿宋" w:cs="仿宋"/>
          <w:sz w:val="32"/>
          <w:szCs w:val="32"/>
        </w:rPr>
        <w:t>1．学生自主申报。有意愿申请研究生学业奖学金的研究生如实填写《研究生学业奖学金申请审批表》，连同可以展现自己能力和素质的证明材料（如研究生成绩表、发表的论文及专著、专利证书、获奖证书等）原件及其复印件，于学院规定时间上交本学院研究生辅导员。</w:t>
      </w:r>
    </w:p>
    <w:p>
      <w:pPr>
        <w:ind w:firstLine="640" w:firstLineChars="200"/>
        <w:rPr>
          <w:rFonts w:ascii="仿宋" w:hAnsi="仿宋" w:eastAsia="仿宋" w:cs="仿宋"/>
          <w:sz w:val="32"/>
          <w:szCs w:val="32"/>
        </w:rPr>
      </w:pPr>
      <w:r>
        <w:rPr>
          <w:rFonts w:hint="eastAsia" w:ascii="仿宋" w:hAnsi="仿宋" w:eastAsia="仿宋" w:cs="仿宋"/>
          <w:sz w:val="32"/>
          <w:szCs w:val="32"/>
        </w:rPr>
        <w:t>2．硕士点初评。在评审过程中，评审委员会要认真审阅、核实评审材料，公平公正评审。硕士点进行初评，确定本硕士点初评获奖名单后公示三个工作日。对初评结果有异议的学生应在公示期向管理学院评审委员会提出申诉，评审委员会应及时研究并予以答复。</w:t>
      </w:r>
    </w:p>
    <w:p>
      <w:pPr>
        <w:ind w:firstLine="640" w:firstLineChars="200"/>
        <w:rPr>
          <w:rFonts w:ascii="仿宋" w:hAnsi="仿宋" w:eastAsia="仿宋" w:cs="仿宋"/>
          <w:sz w:val="32"/>
          <w:szCs w:val="32"/>
        </w:rPr>
      </w:pPr>
      <w:r>
        <w:rPr>
          <w:rFonts w:hint="eastAsia" w:ascii="仿宋" w:hAnsi="仿宋" w:eastAsia="仿宋" w:cs="仿宋"/>
          <w:sz w:val="32"/>
          <w:szCs w:val="32"/>
        </w:rPr>
        <w:t>3.上报初评获奖名单与材料。经公示无异议后，旅游服务方向硕士点将《研究生学业奖学金申请审批表》及相关证明材料复印件、《硕士研究生学业奖学金汇总表》、旅游服务方向的《研究生学业奖学金评审实施细则》等材料报送研究生。</w:t>
      </w:r>
    </w:p>
    <w:p>
      <w:pPr>
        <w:ind w:firstLine="2880" w:firstLineChars="900"/>
        <w:jc w:val="right"/>
        <w:rPr>
          <w:rFonts w:ascii="仿宋" w:hAnsi="仿宋" w:eastAsia="仿宋" w:cs="仿宋"/>
          <w:sz w:val="32"/>
          <w:szCs w:val="32"/>
        </w:rPr>
      </w:pPr>
      <w:r>
        <w:rPr>
          <w:rFonts w:hint="eastAsia" w:ascii="仿宋" w:hAnsi="仿宋" w:eastAsia="仿宋" w:cs="仿宋"/>
          <w:sz w:val="32"/>
          <w:szCs w:val="32"/>
        </w:rPr>
        <w:t>管理学院学业奖学金评审委员会</w:t>
      </w:r>
    </w:p>
    <w:p>
      <w:pPr>
        <w:ind w:left="5118" w:leftChars="304" w:hanging="4480" w:hangingChars="140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598699"/>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70"/>
    <w:rsid w:val="00034516"/>
    <w:rsid w:val="0005083D"/>
    <w:rsid w:val="0009799A"/>
    <w:rsid w:val="000B02A7"/>
    <w:rsid w:val="000C2788"/>
    <w:rsid w:val="000D01FC"/>
    <w:rsid w:val="000D2657"/>
    <w:rsid w:val="00101386"/>
    <w:rsid w:val="00120B42"/>
    <w:rsid w:val="001227B1"/>
    <w:rsid w:val="001231D9"/>
    <w:rsid w:val="001423EF"/>
    <w:rsid w:val="00165846"/>
    <w:rsid w:val="00172A27"/>
    <w:rsid w:val="00186D2D"/>
    <w:rsid w:val="0022276D"/>
    <w:rsid w:val="00296D6D"/>
    <w:rsid w:val="002A2049"/>
    <w:rsid w:val="002E661B"/>
    <w:rsid w:val="002F0895"/>
    <w:rsid w:val="002F7052"/>
    <w:rsid w:val="003314C7"/>
    <w:rsid w:val="0033687F"/>
    <w:rsid w:val="00380E6A"/>
    <w:rsid w:val="0038450A"/>
    <w:rsid w:val="003C06BD"/>
    <w:rsid w:val="003F502A"/>
    <w:rsid w:val="003F58DB"/>
    <w:rsid w:val="00442B9B"/>
    <w:rsid w:val="00451D2F"/>
    <w:rsid w:val="0050484E"/>
    <w:rsid w:val="005C667B"/>
    <w:rsid w:val="005D439B"/>
    <w:rsid w:val="005F32F7"/>
    <w:rsid w:val="005F4954"/>
    <w:rsid w:val="00623DB5"/>
    <w:rsid w:val="006277BB"/>
    <w:rsid w:val="006362B8"/>
    <w:rsid w:val="0067594D"/>
    <w:rsid w:val="006B0232"/>
    <w:rsid w:val="006D2212"/>
    <w:rsid w:val="006E12C5"/>
    <w:rsid w:val="006E660E"/>
    <w:rsid w:val="00706CC7"/>
    <w:rsid w:val="00740124"/>
    <w:rsid w:val="00764F25"/>
    <w:rsid w:val="00794B3A"/>
    <w:rsid w:val="007B344D"/>
    <w:rsid w:val="007B448E"/>
    <w:rsid w:val="007D242A"/>
    <w:rsid w:val="007E2C01"/>
    <w:rsid w:val="00805E07"/>
    <w:rsid w:val="00816840"/>
    <w:rsid w:val="00825D08"/>
    <w:rsid w:val="008531B2"/>
    <w:rsid w:val="00897260"/>
    <w:rsid w:val="008977CE"/>
    <w:rsid w:val="008C78E1"/>
    <w:rsid w:val="00901B32"/>
    <w:rsid w:val="0090586A"/>
    <w:rsid w:val="00907940"/>
    <w:rsid w:val="00913D6A"/>
    <w:rsid w:val="00980344"/>
    <w:rsid w:val="009825DE"/>
    <w:rsid w:val="009A1875"/>
    <w:rsid w:val="009B7FDD"/>
    <w:rsid w:val="009C3950"/>
    <w:rsid w:val="009C53E4"/>
    <w:rsid w:val="00A012B1"/>
    <w:rsid w:val="00A3539F"/>
    <w:rsid w:val="00A44F90"/>
    <w:rsid w:val="00A47F46"/>
    <w:rsid w:val="00AA09BA"/>
    <w:rsid w:val="00AB75EE"/>
    <w:rsid w:val="00AE2173"/>
    <w:rsid w:val="00B150CE"/>
    <w:rsid w:val="00B664FA"/>
    <w:rsid w:val="00B80182"/>
    <w:rsid w:val="00B87858"/>
    <w:rsid w:val="00B926D8"/>
    <w:rsid w:val="00BA47F9"/>
    <w:rsid w:val="00BC3B4E"/>
    <w:rsid w:val="00C23E12"/>
    <w:rsid w:val="00C654D9"/>
    <w:rsid w:val="00C77C98"/>
    <w:rsid w:val="00C8147B"/>
    <w:rsid w:val="00C843D8"/>
    <w:rsid w:val="00C908E7"/>
    <w:rsid w:val="00C94BC3"/>
    <w:rsid w:val="00CD5B6C"/>
    <w:rsid w:val="00D45DDF"/>
    <w:rsid w:val="00DA68EE"/>
    <w:rsid w:val="00DB7E6A"/>
    <w:rsid w:val="00DE3943"/>
    <w:rsid w:val="00E06D99"/>
    <w:rsid w:val="00E3178D"/>
    <w:rsid w:val="00E463E8"/>
    <w:rsid w:val="00EB0C7A"/>
    <w:rsid w:val="00F047FE"/>
    <w:rsid w:val="00F52A44"/>
    <w:rsid w:val="00F63B03"/>
    <w:rsid w:val="00F65D53"/>
    <w:rsid w:val="00FB6A80"/>
    <w:rsid w:val="00FE44FE"/>
    <w:rsid w:val="01543D00"/>
    <w:rsid w:val="030841C6"/>
    <w:rsid w:val="049D48D9"/>
    <w:rsid w:val="07D928A2"/>
    <w:rsid w:val="096D3A83"/>
    <w:rsid w:val="09DE6089"/>
    <w:rsid w:val="0AD90959"/>
    <w:rsid w:val="0ADF4CAF"/>
    <w:rsid w:val="0CFF4310"/>
    <w:rsid w:val="0D0476D5"/>
    <w:rsid w:val="0D7206D3"/>
    <w:rsid w:val="0E8B5116"/>
    <w:rsid w:val="0F6868BF"/>
    <w:rsid w:val="0FF649F6"/>
    <w:rsid w:val="1021125B"/>
    <w:rsid w:val="104B133D"/>
    <w:rsid w:val="12490AAD"/>
    <w:rsid w:val="13452B22"/>
    <w:rsid w:val="14FD0E21"/>
    <w:rsid w:val="159F490C"/>
    <w:rsid w:val="17CE4701"/>
    <w:rsid w:val="187A3EAE"/>
    <w:rsid w:val="18B4620A"/>
    <w:rsid w:val="1AE776F0"/>
    <w:rsid w:val="1F5A3672"/>
    <w:rsid w:val="213848BB"/>
    <w:rsid w:val="275200D5"/>
    <w:rsid w:val="2A2C3C83"/>
    <w:rsid w:val="2C046AEF"/>
    <w:rsid w:val="2D0A4EB0"/>
    <w:rsid w:val="2D0A5541"/>
    <w:rsid w:val="2D187BF8"/>
    <w:rsid w:val="302C65CF"/>
    <w:rsid w:val="30390759"/>
    <w:rsid w:val="307A5EA1"/>
    <w:rsid w:val="30C54C75"/>
    <w:rsid w:val="3298197F"/>
    <w:rsid w:val="34873404"/>
    <w:rsid w:val="350D6C5B"/>
    <w:rsid w:val="35DF226F"/>
    <w:rsid w:val="36BF5B9D"/>
    <w:rsid w:val="370D18CC"/>
    <w:rsid w:val="38A6747B"/>
    <w:rsid w:val="3ACE7BA9"/>
    <w:rsid w:val="3C923C6F"/>
    <w:rsid w:val="3E995A68"/>
    <w:rsid w:val="3F6B53D7"/>
    <w:rsid w:val="40AA0F8D"/>
    <w:rsid w:val="4188227A"/>
    <w:rsid w:val="42BA3E55"/>
    <w:rsid w:val="44692CAA"/>
    <w:rsid w:val="4512228F"/>
    <w:rsid w:val="45375ADF"/>
    <w:rsid w:val="45611887"/>
    <w:rsid w:val="45CC22D9"/>
    <w:rsid w:val="48824576"/>
    <w:rsid w:val="48CF1978"/>
    <w:rsid w:val="49174202"/>
    <w:rsid w:val="49894D5E"/>
    <w:rsid w:val="4ACB3305"/>
    <w:rsid w:val="4B396B12"/>
    <w:rsid w:val="4C355C41"/>
    <w:rsid w:val="4C786AB6"/>
    <w:rsid w:val="4D921D0F"/>
    <w:rsid w:val="4E8E59B0"/>
    <w:rsid w:val="4F3C5649"/>
    <w:rsid w:val="4FB01E39"/>
    <w:rsid w:val="51C1513D"/>
    <w:rsid w:val="52560039"/>
    <w:rsid w:val="53D00EEB"/>
    <w:rsid w:val="54685B3D"/>
    <w:rsid w:val="55250BCC"/>
    <w:rsid w:val="59614B95"/>
    <w:rsid w:val="5D736EEE"/>
    <w:rsid w:val="5D8777B1"/>
    <w:rsid w:val="5EFE29E8"/>
    <w:rsid w:val="5FB72EEE"/>
    <w:rsid w:val="65FA18BC"/>
    <w:rsid w:val="6614335B"/>
    <w:rsid w:val="661F7F17"/>
    <w:rsid w:val="666E7B26"/>
    <w:rsid w:val="68761FEC"/>
    <w:rsid w:val="688D7597"/>
    <w:rsid w:val="69D9341F"/>
    <w:rsid w:val="6B8C65D5"/>
    <w:rsid w:val="6BB15CE9"/>
    <w:rsid w:val="6BFA50BF"/>
    <w:rsid w:val="71CD64AF"/>
    <w:rsid w:val="723B6121"/>
    <w:rsid w:val="734A78F1"/>
    <w:rsid w:val="73F4175D"/>
    <w:rsid w:val="74417ABC"/>
    <w:rsid w:val="744458D3"/>
    <w:rsid w:val="74BB4F25"/>
    <w:rsid w:val="74C74560"/>
    <w:rsid w:val="76660AE7"/>
    <w:rsid w:val="7B69652C"/>
    <w:rsid w:val="7CCE0B97"/>
    <w:rsid w:val="7E0B24A2"/>
    <w:rsid w:val="7FFB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styleId="11">
    <w:name w:val="annotation reference"/>
    <w:semiHidden/>
    <w:qFormat/>
    <w:uiPriority w:val="0"/>
    <w:rPr>
      <w:sz w:val="21"/>
      <w:szCs w:val="21"/>
    </w:rPr>
  </w:style>
  <w:style w:type="character" w:customStyle="1" w:styleId="12">
    <w:name w:val="siji_title1"/>
    <w:basedOn w:val="9"/>
    <w:qFormat/>
    <w:uiPriority w:val="0"/>
    <w:rPr>
      <w:b/>
      <w:bCs/>
      <w:color w:val="0000FF"/>
      <w:sz w:val="30"/>
      <w:szCs w:val="30"/>
    </w:rPr>
  </w:style>
  <w:style w:type="paragraph" w:customStyle="1" w:styleId="13">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C8CC0-D66A-4E3E-A47B-4C10B1C519D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608</Words>
  <Characters>3468</Characters>
  <Lines>28</Lines>
  <Paragraphs>8</Paragraphs>
  <TotalTime>25</TotalTime>
  <ScaleCrop>false</ScaleCrop>
  <LinksUpToDate>false</LinksUpToDate>
  <CharactersWithSpaces>4068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2018-10-18T05:13:00Z</dcterms:created>
  <dc:creator>hp</dc:creator>
  <cp:lastModifiedBy>徐少</cp:lastModifiedBy>
  <cp:lastPrinted>2019-10-14T10:34:00Z</cp:lastPrinted>
  <dcterms:modified xsi:type="dcterms:W3CDTF">2021-09-07T07:16:48Z</dcterms:modified>
  <dc:title>广东技术师范学院民族学院</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21A365AE29C342EEB44723B840B87B1D</vt:lpwstr>
  </property>
</Properties>
</file>